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35C5">
      <w:pPr>
        <w:spacing w:line="360" w:lineRule="auto"/>
        <w:jc w:val="center"/>
        <w:rPr>
          <w:rFonts w:hint="eastAsia" w:ascii="方正小标宋简体" w:eastAsia="方正小标宋简体" w:hAnsiTheme="majorEastAsia" w:cstheme="majorEastAsia"/>
          <w:sz w:val="44"/>
          <w:szCs w:val="44"/>
        </w:rPr>
      </w:pPr>
      <w:r>
        <w:rPr>
          <w:rFonts w:hint="eastAsia" w:ascii="方正小标宋简体" w:eastAsia="方正小标宋简体" w:hAnsiTheme="majorEastAsia" w:cstheme="majorEastAsia"/>
          <w:sz w:val="44"/>
          <w:szCs w:val="44"/>
        </w:rPr>
        <w:t>中南大学湘雅三医院</w:t>
      </w:r>
    </w:p>
    <w:p w14:paraId="40F7B3E3">
      <w:pPr>
        <w:spacing w:line="360" w:lineRule="auto"/>
        <w:jc w:val="center"/>
        <w:rPr>
          <w:rFonts w:hint="eastAsia" w:ascii="方正小标宋简体" w:eastAsia="方正小标宋简体" w:hAnsiTheme="majorEastAsia" w:cstheme="majorEastAsia"/>
          <w:sz w:val="44"/>
          <w:szCs w:val="44"/>
        </w:rPr>
      </w:pPr>
      <w:r>
        <w:rPr>
          <w:rFonts w:hint="eastAsia" w:ascii="方正小标宋简体" w:eastAsia="方正小标宋简体" w:hAnsiTheme="majorEastAsia" w:cstheme="majorEastAsia"/>
          <w:sz w:val="44"/>
          <w:szCs w:val="44"/>
        </w:rPr>
        <w:t>研究生学业奖学金评定实施细则</w:t>
      </w:r>
    </w:p>
    <w:p w14:paraId="79BCE5E6"/>
    <w:p w14:paraId="5ECCB1F9">
      <w:pPr>
        <w:spacing w:after="312" w:afterLines="100" w:line="600" w:lineRule="exact"/>
        <w:jc w:val="center"/>
        <w:rPr>
          <w:rStyle w:val="8"/>
          <w:rFonts w:ascii="黑体" w:hAnsi="黑体" w:eastAsia="黑体" w:cstheme="majorEastAsia"/>
          <w:b w:val="0"/>
          <w:bCs w:val="0"/>
          <w:sz w:val="32"/>
          <w:szCs w:val="32"/>
        </w:rPr>
      </w:pPr>
      <w:r>
        <w:rPr>
          <w:rStyle w:val="8"/>
          <w:rFonts w:hint="eastAsia" w:ascii="黑体" w:hAnsi="黑体" w:eastAsia="黑体" w:cstheme="majorEastAsia"/>
          <w:b w:val="0"/>
          <w:bCs w:val="0"/>
          <w:sz w:val="32"/>
          <w:szCs w:val="32"/>
        </w:rPr>
        <w:t>第一章  总则</w:t>
      </w:r>
    </w:p>
    <w:p w14:paraId="6DD47C64">
      <w:pPr>
        <w:spacing w:line="600" w:lineRule="exact"/>
        <w:ind w:firstLine="618" w:firstLineChars="200"/>
        <w:rPr>
          <w:rFonts w:ascii="Times New Roman" w:hAnsi="Times New Roman" w:eastAsia="宋体" w:cs="Times New Roman"/>
          <w:sz w:val="28"/>
          <w:szCs w:val="28"/>
        </w:rPr>
      </w:pPr>
      <w:r>
        <w:rPr>
          <w:rFonts w:ascii="Times New Roman" w:hAnsi="Times New Roman" w:eastAsia="宋体" w:cs="Times New Roman"/>
          <w:b/>
          <w:bCs/>
          <w:spacing w:val="14"/>
          <w:sz w:val="28"/>
          <w:szCs w:val="28"/>
        </w:rPr>
        <w:t>第一</w:t>
      </w:r>
      <w:r>
        <w:rPr>
          <w:rFonts w:ascii="Times New Roman" w:hAnsi="Times New Roman" w:eastAsia="宋体" w:cs="Times New Roman"/>
          <w:b/>
          <w:bCs/>
          <w:spacing w:val="9"/>
          <w:sz w:val="28"/>
          <w:szCs w:val="28"/>
        </w:rPr>
        <w:t>条</w:t>
      </w:r>
      <w:r>
        <w:rPr>
          <w:rFonts w:ascii="Times New Roman" w:hAnsi="Times New Roman" w:eastAsia="宋体" w:cs="Times New Roman"/>
          <w:spacing w:val="7"/>
          <w:sz w:val="28"/>
          <w:szCs w:val="28"/>
        </w:rPr>
        <w:t xml:space="preserve">  研究生学业奖学金，用于激励研究生勤奋学习、</w:t>
      </w:r>
      <w:r>
        <w:rPr>
          <w:rFonts w:ascii="Times New Roman" w:hAnsi="Times New Roman" w:eastAsia="宋体" w:cs="Times New Roman"/>
          <w:sz w:val="28"/>
          <w:szCs w:val="28"/>
        </w:rPr>
        <w:t xml:space="preserve"> </w:t>
      </w:r>
      <w:r>
        <w:rPr>
          <w:rFonts w:ascii="Times New Roman" w:hAnsi="Times New Roman" w:eastAsia="宋体" w:cs="Times New Roman"/>
          <w:spacing w:val="16"/>
          <w:sz w:val="28"/>
          <w:szCs w:val="28"/>
        </w:rPr>
        <w:t>潜心</w:t>
      </w:r>
      <w:r>
        <w:rPr>
          <w:rFonts w:ascii="Times New Roman" w:hAnsi="Times New Roman" w:eastAsia="宋体" w:cs="Times New Roman"/>
          <w:spacing w:val="10"/>
          <w:sz w:val="28"/>
          <w:szCs w:val="28"/>
        </w:rPr>
        <w:t>科</w:t>
      </w:r>
      <w:r>
        <w:rPr>
          <w:rFonts w:ascii="Times New Roman" w:hAnsi="Times New Roman" w:eastAsia="宋体" w:cs="Times New Roman"/>
          <w:spacing w:val="8"/>
          <w:sz w:val="28"/>
          <w:szCs w:val="28"/>
        </w:rPr>
        <w:t>研、勇于创新、积极进取，在全面实行研究生教育收费</w:t>
      </w:r>
      <w:r>
        <w:rPr>
          <w:rFonts w:ascii="Times New Roman" w:hAnsi="Times New Roman" w:eastAsia="宋体" w:cs="Times New Roman"/>
          <w:spacing w:val="16"/>
          <w:sz w:val="28"/>
          <w:szCs w:val="28"/>
        </w:rPr>
        <w:t>制度</w:t>
      </w:r>
      <w:r>
        <w:rPr>
          <w:rFonts w:ascii="Times New Roman" w:hAnsi="Times New Roman" w:eastAsia="宋体" w:cs="Times New Roman"/>
          <w:spacing w:val="8"/>
          <w:sz w:val="28"/>
          <w:szCs w:val="28"/>
        </w:rPr>
        <w:t>的情况下更好地支持研究生顺利完成学业。</w:t>
      </w:r>
    </w:p>
    <w:p w14:paraId="0BB4E77E">
      <w:pPr>
        <w:spacing w:line="600" w:lineRule="exact"/>
        <w:ind w:firstLine="606" w:firstLineChars="200"/>
        <w:rPr>
          <w:rFonts w:ascii="Times New Roman" w:hAnsi="Times New Roman" w:eastAsia="宋体" w:cs="Times New Roman"/>
          <w:spacing w:val="7"/>
          <w:sz w:val="28"/>
          <w:szCs w:val="28"/>
        </w:rPr>
      </w:pPr>
      <w:r>
        <w:rPr>
          <w:rFonts w:ascii="Times New Roman" w:hAnsi="Times New Roman" w:eastAsia="宋体" w:cs="Times New Roman"/>
          <w:b/>
          <w:bCs/>
          <w:spacing w:val="11"/>
          <w:sz w:val="28"/>
          <w:szCs w:val="28"/>
        </w:rPr>
        <w:t>第</w:t>
      </w:r>
      <w:r>
        <w:rPr>
          <w:rFonts w:ascii="Times New Roman" w:hAnsi="Times New Roman" w:eastAsia="宋体" w:cs="Times New Roman"/>
          <w:b/>
          <w:bCs/>
          <w:spacing w:val="7"/>
          <w:sz w:val="28"/>
          <w:szCs w:val="28"/>
        </w:rPr>
        <w:t>二条</w:t>
      </w:r>
      <w:r>
        <w:rPr>
          <w:rFonts w:ascii="Times New Roman" w:hAnsi="Times New Roman" w:eastAsia="宋体" w:cs="Times New Roman"/>
          <w:spacing w:val="7"/>
          <w:sz w:val="28"/>
          <w:szCs w:val="28"/>
        </w:rPr>
        <w:t xml:space="preserve">  硕博连读研究生在注册为博士研究生之前，按照硕士研究生身份申请学业奖学金；注册为博士研究生后，按照博士研究生身份申请学业奖学金。直博生按照博士研究生身份申请学业奖学金。</w:t>
      </w:r>
    </w:p>
    <w:p w14:paraId="36217443">
      <w:pPr>
        <w:spacing w:line="600" w:lineRule="exact"/>
        <w:ind w:firstLine="562" w:firstLineChars="200"/>
        <w:rPr>
          <w:rFonts w:ascii="Times New Roman" w:hAnsi="Times New Roman" w:eastAsia="宋体" w:cs="Times New Roman"/>
          <w:spacing w:val="7"/>
          <w:sz w:val="28"/>
          <w:szCs w:val="28"/>
        </w:rPr>
      </w:pPr>
      <w:r>
        <w:rPr>
          <w:rFonts w:ascii="Times New Roman" w:hAnsi="Times New Roman" w:eastAsia="宋体" w:cs="Times New Roman"/>
          <w:b/>
          <w:bCs/>
          <w:sz w:val="28"/>
          <w:szCs w:val="28"/>
        </w:rPr>
        <w:t xml:space="preserve">第三条  </w:t>
      </w:r>
      <w:r>
        <w:rPr>
          <w:rFonts w:ascii="Times New Roman" w:hAnsi="Times New Roman" w:eastAsia="宋体" w:cs="Times New Roman"/>
          <w:spacing w:val="7"/>
          <w:sz w:val="28"/>
          <w:szCs w:val="28"/>
        </w:rPr>
        <w:t>奖励标准</w:t>
      </w:r>
    </w:p>
    <w:p w14:paraId="3C75FD9D">
      <w:pPr>
        <w:pStyle w:val="2"/>
        <w:spacing w:line="316" w:lineRule="auto"/>
        <w:ind w:right="275"/>
        <w:rPr>
          <w:rFonts w:ascii="黑体" w:hAnsi="黑体" w:eastAsia="黑体" w:cs="黑体"/>
          <w:spacing w:val="1"/>
          <w:sz w:val="24"/>
          <w:szCs w:val="24"/>
        </w:rPr>
      </w:pPr>
    </w:p>
    <w:tbl>
      <w:tblPr>
        <w:tblStyle w:val="6"/>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851"/>
        <w:gridCol w:w="2126"/>
        <w:gridCol w:w="1746"/>
        <w:gridCol w:w="1417"/>
      </w:tblGrid>
      <w:tr w14:paraId="6194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520" w:type="dxa"/>
            <w:tcBorders>
              <w:tl2br w:val="nil"/>
              <w:tr2bl w:val="nil"/>
            </w:tcBorders>
            <w:vAlign w:val="center"/>
          </w:tcPr>
          <w:p w14:paraId="158F509F">
            <w:pPr>
              <w:ind w:left="22" w:hanging="21" w:hangingChars="9"/>
              <w:jc w:val="center"/>
              <w:rPr>
                <w:rFonts w:ascii="Times New Roman" w:hAnsi="Times New Roman" w:eastAsia="宋体" w:cs="Times New Roman"/>
                <w:sz w:val="24"/>
              </w:rPr>
            </w:pPr>
            <w:r>
              <w:rPr>
                <w:rFonts w:ascii="Times New Roman" w:hAnsi="Times New Roman" w:eastAsia="宋体" w:cs="Times New Roman"/>
                <w:sz w:val="24"/>
              </w:rPr>
              <w:t>奖励项目</w:t>
            </w:r>
          </w:p>
        </w:tc>
        <w:tc>
          <w:tcPr>
            <w:tcW w:w="2977" w:type="dxa"/>
            <w:gridSpan w:val="2"/>
            <w:tcBorders>
              <w:tl2br w:val="nil"/>
              <w:tr2bl w:val="nil"/>
            </w:tcBorders>
            <w:vAlign w:val="center"/>
          </w:tcPr>
          <w:p w14:paraId="36149C69">
            <w:pPr>
              <w:ind w:left="22" w:hanging="21" w:hangingChars="9"/>
              <w:jc w:val="center"/>
              <w:rPr>
                <w:rFonts w:ascii="Times New Roman" w:hAnsi="Times New Roman" w:eastAsia="宋体" w:cs="Times New Roman"/>
                <w:sz w:val="24"/>
              </w:rPr>
            </w:pPr>
            <w:r>
              <w:rPr>
                <w:rFonts w:ascii="Times New Roman" w:hAnsi="Times New Roman" w:eastAsia="宋体" w:cs="Times New Roman"/>
                <w:sz w:val="24"/>
              </w:rPr>
              <w:t>奖 励 类 别</w:t>
            </w:r>
          </w:p>
        </w:tc>
        <w:tc>
          <w:tcPr>
            <w:tcW w:w="1746" w:type="dxa"/>
            <w:tcBorders>
              <w:tl2br w:val="nil"/>
              <w:tr2bl w:val="nil"/>
            </w:tcBorders>
            <w:vAlign w:val="center"/>
          </w:tcPr>
          <w:p w14:paraId="4FC127E8">
            <w:pPr>
              <w:ind w:left="22" w:hanging="21" w:hangingChars="9"/>
              <w:jc w:val="center"/>
              <w:rPr>
                <w:rFonts w:ascii="Times New Roman" w:hAnsi="Times New Roman" w:eastAsia="宋体" w:cs="Times New Roman"/>
                <w:sz w:val="24"/>
              </w:rPr>
            </w:pPr>
            <w:r>
              <w:rPr>
                <w:rFonts w:ascii="Times New Roman" w:hAnsi="Times New Roman" w:eastAsia="宋体" w:cs="Times New Roman"/>
                <w:sz w:val="24"/>
              </w:rPr>
              <w:t>每人奖励金额(元·年）</w:t>
            </w:r>
          </w:p>
        </w:tc>
        <w:tc>
          <w:tcPr>
            <w:tcW w:w="1417" w:type="dxa"/>
            <w:tcBorders>
              <w:tl2br w:val="nil"/>
              <w:tr2bl w:val="nil"/>
            </w:tcBorders>
            <w:vAlign w:val="center"/>
          </w:tcPr>
          <w:p w14:paraId="4024DF39">
            <w:pPr>
              <w:ind w:left="22" w:hanging="21" w:hangingChars="9"/>
              <w:jc w:val="center"/>
              <w:rPr>
                <w:rFonts w:ascii="Times New Roman" w:hAnsi="Times New Roman" w:eastAsia="宋体" w:cs="Times New Roman"/>
                <w:sz w:val="24"/>
              </w:rPr>
            </w:pPr>
            <w:r>
              <w:rPr>
                <w:rFonts w:ascii="Times New Roman" w:hAnsi="Times New Roman" w:eastAsia="宋体" w:cs="Times New Roman"/>
                <w:sz w:val="24"/>
              </w:rPr>
              <w:t>获奖比例或指标</w:t>
            </w:r>
          </w:p>
        </w:tc>
      </w:tr>
      <w:tr w14:paraId="7C95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520" w:type="dxa"/>
            <w:vMerge w:val="restart"/>
            <w:tcBorders>
              <w:tl2br w:val="nil"/>
              <w:tr2bl w:val="nil"/>
            </w:tcBorders>
            <w:vAlign w:val="center"/>
          </w:tcPr>
          <w:p w14:paraId="17775EF6">
            <w:pPr>
              <w:ind w:left="22" w:hanging="21" w:hangingChars="9"/>
              <w:jc w:val="center"/>
              <w:rPr>
                <w:rFonts w:ascii="Times New Roman" w:hAnsi="Times New Roman" w:eastAsia="宋体" w:cs="Times New Roman"/>
                <w:sz w:val="24"/>
                <w:shd w:val="clear" w:color="auto" w:fill="FFFFFF"/>
              </w:rPr>
            </w:pPr>
            <w:r>
              <w:rPr>
                <w:rFonts w:ascii="Times New Roman" w:hAnsi="Times New Roman" w:eastAsia="宋体" w:cs="Times New Roman"/>
                <w:spacing w:val="1"/>
                <w:sz w:val="24"/>
              </w:rPr>
              <w:t>研究生学业奖学金</w:t>
            </w:r>
          </w:p>
        </w:tc>
        <w:tc>
          <w:tcPr>
            <w:tcW w:w="851" w:type="dxa"/>
            <w:vMerge w:val="restart"/>
            <w:tcBorders>
              <w:tl2br w:val="nil"/>
              <w:tr2bl w:val="nil"/>
            </w:tcBorders>
            <w:vAlign w:val="center"/>
          </w:tcPr>
          <w:p w14:paraId="5982CD05">
            <w:pPr>
              <w:ind w:left="22" w:hanging="21" w:hangingChars="9"/>
              <w:jc w:val="center"/>
              <w:rPr>
                <w:rFonts w:ascii="Times New Roman" w:hAnsi="Times New Roman" w:eastAsia="宋体" w:cs="Times New Roman"/>
                <w:sz w:val="24"/>
                <w:shd w:val="clear" w:color="auto" w:fill="FFFFFF"/>
              </w:rPr>
            </w:pPr>
            <w:r>
              <w:rPr>
                <w:rFonts w:ascii="Times New Roman" w:hAnsi="Times New Roman" w:eastAsia="宋体" w:cs="Times New Roman"/>
                <w:sz w:val="24"/>
                <w:shd w:val="clear" w:color="auto" w:fill="FFFFFF"/>
              </w:rPr>
              <w:t>博士</w:t>
            </w:r>
          </w:p>
        </w:tc>
        <w:tc>
          <w:tcPr>
            <w:tcW w:w="2126" w:type="dxa"/>
            <w:tcBorders>
              <w:tl2br w:val="nil"/>
              <w:tr2bl w:val="nil"/>
            </w:tcBorders>
            <w:vAlign w:val="center"/>
          </w:tcPr>
          <w:p w14:paraId="0A0027DD">
            <w:pPr>
              <w:ind w:left="22" w:hanging="21" w:hangingChars="9"/>
              <w:jc w:val="center"/>
              <w:rPr>
                <w:rFonts w:ascii="Times New Roman" w:hAnsi="Times New Roman" w:eastAsia="宋体" w:cs="Times New Roman"/>
                <w:sz w:val="24"/>
                <w:shd w:val="clear" w:color="auto" w:fill="FFFFFF"/>
              </w:rPr>
            </w:pPr>
            <w:r>
              <w:rPr>
                <w:rFonts w:ascii="Times New Roman" w:hAnsi="Times New Roman" w:eastAsia="宋体" w:cs="Times New Roman"/>
                <w:sz w:val="24"/>
                <w:shd w:val="clear" w:color="auto" w:fill="FFFFFF"/>
              </w:rPr>
              <w:t>新生不分等级</w:t>
            </w:r>
          </w:p>
        </w:tc>
        <w:tc>
          <w:tcPr>
            <w:tcW w:w="1746" w:type="dxa"/>
            <w:tcBorders>
              <w:tl2br w:val="nil"/>
              <w:tr2bl w:val="nil"/>
            </w:tcBorders>
            <w:vAlign w:val="center"/>
          </w:tcPr>
          <w:p w14:paraId="4306041B">
            <w:pPr>
              <w:ind w:left="22" w:hanging="21" w:hangingChars="9"/>
              <w:jc w:val="center"/>
              <w:rPr>
                <w:rFonts w:ascii="Times New Roman" w:hAnsi="Times New Roman" w:eastAsia="宋体" w:cs="Times New Roman"/>
                <w:sz w:val="24"/>
              </w:rPr>
            </w:pPr>
            <w:r>
              <w:rPr>
                <w:rFonts w:ascii="Times New Roman" w:hAnsi="Times New Roman" w:eastAsia="宋体" w:cs="Times New Roman"/>
                <w:sz w:val="24"/>
              </w:rPr>
              <w:t>15000元</w:t>
            </w:r>
          </w:p>
        </w:tc>
        <w:tc>
          <w:tcPr>
            <w:tcW w:w="1417" w:type="dxa"/>
            <w:tcBorders>
              <w:tl2br w:val="nil"/>
              <w:tr2bl w:val="nil"/>
            </w:tcBorders>
            <w:vAlign w:val="center"/>
          </w:tcPr>
          <w:p w14:paraId="58D849D6">
            <w:pPr>
              <w:ind w:left="22" w:hanging="21" w:hangingChars="9"/>
              <w:jc w:val="center"/>
              <w:rPr>
                <w:rFonts w:ascii="Times New Roman" w:hAnsi="Times New Roman" w:eastAsia="宋体" w:cs="Times New Roman"/>
                <w:sz w:val="24"/>
              </w:rPr>
            </w:pPr>
            <w:r>
              <w:rPr>
                <w:rFonts w:ascii="Times New Roman" w:hAnsi="Times New Roman" w:eastAsia="宋体" w:cs="Times New Roman"/>
                <w:sz w:val="24"/>
              </w:rPr>
              <w:t>100%</w:t>
            </w:r>
          </w:p>
        </w:tc>
      </w:tr>
      <w:tr w14:paraId="7FAF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520" w:type="dxa"/>
            <w:vMerge w:val="continue"/>
            <w:tcBorders>
              <w:tl2br w:val="nil"/>
              <w:tr2bl w:val="nil"/>
            </w:tcBorders>
            <w:vAlign w:val="center"/>
          </w:tcPr>
          <w:p w14:paraId="0EB33748">
            <w:pPr>
              <w:ind w:left="22" w:hanging="21" w:hangingChars="9"/>
              <w:jc w:val="center"/>
              <w:rPr>
                <w:rFonts w:ascii="Times New Roman" w:hAnsi="Times New Roman" w:eastAsia="宋体" w:cs="Times New Roman"/>
                <w:sz w:val="24"/>
                <w:shd w:val="clear" w:color="auto" w:fill="FFFFFF"/>
              </w:rPr>
            </w:pPr>
          </w:p>
        </w:tc>
        <w:tc>
          <w:tcPr>
            <w:tcW w:w="851" w:type="dxa"/>
            <w:vMerge w:val="continue"/>
            <w:tcBorders>
              <w:tl2br w:val="nil"/>
              <w:tr2bl w:val="nil"/>
            </w:tcBorders>
            <w:vAlign w:val="center"/>
          </w:tcPr>
          <w:p w14:paraId="0C5C9136">
            <w:pPr>
              <w:ind w:left="22" w:hanging="21" w:hangingChars="9"/>
              <w:jc w:val="center"/>
              <w:rPr>
                <w:rFonts w:ascii="Times New Roman" w:hAnsi="Times New Roman" w:eastAsia="宋体" w:cs="Times New Roman"/>
                <w:sz w:val="24"/>
                <w:shd w:val="clear" w:color="auto" w:fill="FFFFFF"/>
              </w:rPr>
            </w:pPr>
          </w:p>
        </w:tc>
        <w:tc>
          <w:tcPr>
            <w:tcW w:w="2126" w:type="dxa"/>
            <w:tcBorders>
              <w:tl2br w:val="nil"/>
              <w:tr2bl w:val="nil"/>
            </w:tcBorders>
            <w:vAlign w:val="center"/>
          </w:tcPr>
          <w:p w14:paraId="563B861A">
            <w:pPr>
              <w:ind w:left="22" w:hanging="21" w:hangingChars="9"/>
              <w:jc w:val="center"/>
              <w:rPr>
                <w:rFonts w:ascii="Times New Roman" w:hAnsi="Times New Roman" w:eastAsia="宋体" w:cs="Times New Roman"/>
                <w:sz w:val="24"/>
                <w:shd w:val="clear" w:color="auto" w:fill="FFFFFF"/>
              </w:rPr>
            </w:pPr>
            <w:r>
              <w:rPr>
                <w:rFonts w:ascii="Times New Roman" w:hAnsi="Times New Roman" w:eastAsia="宋体" w:cs="Times New Roman"/>
                <w:sz w:val="24"/>
                <w:shd w:val="clear" w:color="auto" w:fill="FFFFFF"/>
              </w:rPr>
              <w:t>高年级一等奖</w:t>
            </w:r>
          </w:p>
        </w:tc>
        <w:tc>
          <w:tcPr>
            <w:tcW w:w="1746" w:type="dxa"/>
            <w:tcBorders>
              <w:tl2br w:val="nil"/>
              <w:tr2bl w:val="nil"/>
            </w:tcBorders>
            <w:vAlign w:val="center"/>
          </w:tcPr>
          <w:p w14:paraId="44948A35">
            <w:pPr>
              <w:ind w:left="22" w:hanging="21" w:hangingChars="9"/>
              <w:jc w:val="center"/>
              <w:rPr>
                <w:rFonts w:ascii="Times New Roman" w:hAnsi="Times New Roman" w:eastAsia="宋体" w:cs="Times New Roman"/>
                <w:sz w:val="24"/>
              </w:rPr>
            </w:pPr>
            <w:r>
              <w:rPr>
                <w:rFonts w:ascii="Times New Roman" w:hAnsi="Times New Roman" w:eastAsia="宋体" w:cs="Times New Roman"/>
                <w:sz w:val="24"/>
              </w:rPr>
              <w:t>18000元</w:t>
            </w:r>
          </w:p>
        </w:tc>
        <w:tc>
          <w:tcPr>
            <w:tcW w:w="1417" w:type="dxa"/>
            <w:tcBorders>
              <w:tl2br w:val="nil"/>
              <w:tr2bl w:val="nil"/>
            </w:tcBorders>
            <w:vAlign w:val="center"/>
          </w:tcPr>
          <w:p w14:paraId="1186E946">
            <w:pPr>
              <w:ind w:left="22" w:hanging="21" w:hangingChars="9"/>
              <w:jc w:val="center"/>
              <w:rPr>
                <w:rFonts w:ascii="Times New Roman" w:hAnsi="Times New Roman" w:eastAsia="宋体" w:cs="Times New Roman"/>
                <w:sz w:val="24"/>
              </w:rPr>
            </w:pPr>
            <w:r>
              <w:rPr>
                <w:rFonts w:ascii="Times New Roman" w:hAnsi="Times New Roman" w:eastAsia="宋体" w:cs="Times New Roman"/>
                <w:sz w:val="24"/>
              </w:rPr>
              <w:t>30%</w:t>
            </w:r>
          </w:p>
        </w:tc>
      </w:tr>
      <w:tr w14:paraId="46D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520" w:type="dxa"/>
            <w:vMerge w:val="continue"/>
            <w:tcBorders>
              <w:tl2br w:val="nil"/>
              <w:tr2bl w:val="nil"/>
            </w:tcBorders>
            <w:vAlign w:val="center"/>
          </w:tcPr>
          <w:p w14:paraId="1AB0544C">
            <w:pPr>
              <w:ind w:left="22" w:hanging="21" w:hangingChars="9"/>
              <w:jc w:val="center"/>
              <w:rPr>
                <w:rFonts w:ascii="Times New Roman" w:hAnsi="Times New Roman" w:eastAsia="宋体" w:cs="Times New Roman"/>
                <w:sz w:val="24"/>
                <w:shd w:val="clear" w:color="auto" w:fill="FFFFFF"/>
              </w:rPr>
            </w:pPr>
          </w:p>
        </w:tc>
        <w:tc>
          <w:tcPr>
            <w:tcW w:w="851" w:type="dxa"/>
            <w:vMerge w:val="continue"/>
            <w:tcBorders>
              <w:tl2br w:val="nil"/>
              <w:tr2bl w:val="nil"/>
            </w:tcBorders>
            <w:vAlign w:val="center"/>
          </w:tcPr>
          <w:p w14:paraId="799EA2E0">
            <w:pPr>
              <w:ind w:left="22" w:hanging="21" w:hangingChars="9"/>
              <w:jc w:val="center"/>
              <w:rPr>
                <w:rFonts w:ascii="Times New Roman" w:hAnsi="Times New Roman" w:eastAsia="宋体" w:cs="Times New Roman"/>
                <w:sz w:val="24"/>
                <w:shd w:val="clear" w:color="auto" w:fill="FFFFFF"/>
              </w:rPr>
            </w:pPr>
          </w:p>
        </w:tc>
        <w:tc>
          <w:tcPr>
            <w:tcW w:w="2126" w:type="dxa"/>
            <w:tcBorders>
              <w:tl2br w:val="nil"/>
              <w:tr2bl w:val="nil"/>
            </w:tcBorders>
            <w:vAlign w:val="center"/>
          </w:tcPr>
          <w:p w14:paraId="55DB5F37">
            <w:pPr>
              <w:ind w:left="22" w:hanging="21" w:hangingChars="9"/>
              <w:jc w:val="center"/>
              <w:rPr>
                <w:rFonts w:ascii="Times New Roman" w:hAnsi="Times New Roman" w:eastAsia="宋体" w:cs="Times New Roman"/>
                <w:sz w:val="24"/>
                <w:shd w:val="clear" w:color="auto" w:fill="FFFFFF"/>
              </w:rPr>
            </w:pPr>
            <w:r>
              <w:rPr>
                <w:rFonts w:ascii="Times New Roman" w:hAnsi="Times New Roman" w:eastAsia="宋体" w:cs="Times New Roman"/>
                <w:sz w:val="24"/>
                <w:shd w:val="clear" w:color="auto" w:fill="FFFFFF"/>
              </w:rPr>
              <w:t>高年级二等奖</w:t>
            </w:r>
          </w:p>
        </w:tc>
        <w:tc>
          <w:tcPr>
            <w:tcW w:w="1746" w:type="dxa"/>
            <w:tcBorders>
              <w:tl2br w:val="nil"/>
              <w:tr2bl w:val="nil"/>
            </w:tcBorders>
            <w:vAlign w:val="center"/>
          </w:tcPr>
          <w:p w14:paraId="5BE093ED">
            <w:pPr>
              <w:ind w:left="22" w:hanging="21" w:hangingChars="9"/>
              <w:jc w:val="center"/>
              <w:rPr>
                <w:rFonts w:ascii="Times New Roman" w:hAnsi="Times New Roman" w:eastAsia="宋体" w:cs="Times New Roman"/>
                <w:sz w:val="24"/>
              </w:rPr>
            </w:pPr>
            <w:r>
              <w:rPr>
                <w:rFonts w:ascii="Times New Roman" w:hAnsi="Times New Roman" w:eastAsia="宋体" w:cs="Times New Roman"/>
                <w:sz w:val="24"/>
              </w:rPr>
              <w:t>13000元</w:t>
            </w:r>
          </w:p>
        </w:tc>
        <w:tc>
          <w:tcPr>
            <w:tcW w:w="1417" w:type="dxa"/>
            <w:tcBorders>
              <w:tl2br w:val="nil"/>
              <w:tr2bl w:val="nil"/>
            </w:tcBorders>
            <w:vAlign w:val="center"/>
          </w:tcPr>
          <w:p w14:paraId="5197C7DC">
            <w:pPr>
              <w:ind w:left="22" w:hanging="21" w:hangingChars="9"/>
              <w:jc w:val="center"/>
              <w:rPr>
                <w:rFonts w:ascii="Times New Roman" w:hAnsi="Times New Roman" w:eastAsia="宋体" w:cs="Times New Roman"/>
                <w:sz w:val="24"/>
              </w:rPr>
            </w:pPr>
            <w:r>
              <w:rPr>
                <w:rFonts w:ascii="Times New Roman" w:hAnsi="Times New Roman" w:eastAsia="宋体" w:cs="Times New Roman"/>
                <w:sz w:val="24"/>
              </w:rPr>
              <w:t>60%</w:t>
            </w:r>
          </w:p>
        </w:tc>
      </w:tr>
      <w:tr w14:paraId="388C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520" w:type="dxa"/>
            <w:vMerge w:val="continue"/>
            <w:tcBorders>
              <w:tl2br w:val="nil"/>
              <w:tr2bl w:val="nil"/>
            </w:tcBorders>
            <w:vAlign w:val="center"/>
          </w:tcPr>
          <w:p w14:paraId="5E2D7F0C">
            <w:pPr>
              <w:ind w:left="22" w:hanging="21" w:hangingChars="9"/>
              <w:jc w:val="center"/>
              <w:rPr>
                <w:rFonts w:ascii="Times New Roman" w:hAnsi="Times New Roman" w:eastAsia="宋体" w:cs="Times New Roman"/>
                <w:sz w:val="24"/>
                <w:shd w:val="clear" w:color="auto" w:fill="FFFFFF"/>
              </w:rPr>
            </w:pPr>
          </w:p>
        </w:tc>
        <w:tc>
          <w:tcPr>
            <w:tcW w:w="851" w:type="dxa"/>
            <w:vMerge w:val="continue"/>
            <w:tcBorders>
              <w:tl2br w:val="nil"/>
              <w:tr2bl w:val="nil"/>
            </w:tcBorders>
            <w:vAlign w:val="center"/>
          </w:tcPr>
          <w:p w14:paraId="126FCC33">
            <w:pPr>
              <w:ind w:left="22" w:hanging="21" w:hangingChars="9"/>
              <w:jc w:val="center"/>
              <w:rPr>
                <w:rFonts w:ascii="Times New Roman" w:hAnsi="Times New Roman" w:eastAsia="宋体" w:cs="Times New Roman"/>
                <w:sz w:val="24"/>
                <w:shd w:val="clear" w:color="auto" w:fill="FFFFFF"/>
              </w:rPr>
            </w:pPr>
          </w:p>
        </w:tc>
        <w:tc>
          <w:tcPr>
            <w:tcW w:w="2126" w:type="dxa"/>
            <w:tcBorders>
              <w:tl2br w:val="nil"/>
              <w:tr2bl w:val="nil"/>
            </w:tcBorders>
            <w:vAlign w:val="center"/>
          </w:tcPr>
          <w:p w14:paraId="65F97606">
            <w:pPr>
              <w:ind w:left="22" w:hanging="21" w:hangingChars="9"/>
              <w:jc w:val="center"/>
              <w:rPr>
                <w:rFonts w:ascii="Times New Roman" w:hAnsi="Times New Roman" w:eastAsia="宋体" w:cs="Times New Roman"/>
                <w:sz w:val="24"/>
                <w:shd w:val="clear" w:color="auto" w:fill="FFFFFF"/>
              </w:rPr>
            </w:pPr>
            <w:r>
              <w:rPr>
                <w:rFonts w:ascii="Times New Roman" w:hAnsi="Times New Roman" w:eastAsia="宋体" w:cs="Times New Roman"/>
                <w:sz w:val="24"/>
                <w:shd w:val="clear" w:color="auto" w:fill="FFFFFF"/>
              </w:rPr>
              <w:t>高年级三等奖</w:t>
            </w:r>
          </w:p>
        </w:tc>
        <w:tc>
          <w:tcPr>
            <w:tcW w:w="1746" w:type="dxa"/>
            <w:tcBorders>
              <w:tl2br w:val="nil"/>
              <w:tr2bl w:val="nil"/>
            </w:tcBorders>
            <w:vAlign w:val="center"/>
          </w:tcPr>
          <w:p w14:paraId="2E31B88B">
            <w:pPr>
              <w:ind w:left="22" w:hanging="21" w:hangingChars="9"/>
              <w:jc w:val="center"/>
              <w:rPr>
                <w:rFonts w:ascii="Times New Roman" w:hAnsi="Times New Roman" w:eastAsia="宋体" w:cs="Times New Roman"/>
                <w:sz w:val="24"/>
              </w:rPr>
            </w:pPr>
            <w:r>
              <w:rPr>
                <w:rFonts w:ascii="Times New Roman" w:hAnsi="Times New Roman" w:eastAsia="宋体" w:cs="Times New Roman"/>
                <w:sz w:val="24"/>
              </w:rPr>
              <w:t>5000元</w:t>
            </w:r>
          </w:p>
        </w:tc>
        <w:tc>
          <w:tcPr>
            <w:tcW w:w="1417" w:type="dxa"/>
            <w:tcBorders>
              <w:tl2br w:val="nil"/>
              <w:tr2bl w:val="nil"/>
            </w:tcBorders>
            <w:vAlign w:val="center"/>
          </w:tcPr>
          <w:p w14:paraId="448189B5">
            <w:pPr>
              <w:ind w:left="22" w:hanging="21" w:hangingChars="9"/>
              <w:jc w:val="center"/>
              <w:rPr>
                <w:rFonts w:ascii="Times New Roman" w:hAnsi="Times New Roman" w:eastAsia="宋体" w:cs="Times New Roman"/>
                <w:sz w:val="24"/>
              </w:rPr>
            </w:pPr>
            <w:r>
              <w:rPr>
                <w:rFonts w:ascii="Times New Roman" w:hAnsi="Times New Roman" w:eastAsia="宋体" w:cs="Times New Roman"/>
                <w:sz w:val="24"/>
              </w:rPr>
              <w:t>10%</w:t>
            </w:r>
          </w:p>
        </w:tc>
      </w:tr>
      <w:tr w14:paraId="13C6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520" w:type="dxa"/>
            <w:vMerge w:val="continue"/>
            <w:tcBorders>
              <w:tl2br w:val="nil"/>
              <w:tr2bl w:val="nil"/>
            </w:tcBorders>
            <w:vAlign w:val="center"/>
          </w:tcPr>
          <w:p w14:paraId="0A3F217B">
            <w:pPr>
              <w:ind w:left="22" w:hanging="21" w:hangingChars="9"/>
              <w:jc w:val="center"/>
              <w:rPr>
                <w:rFonts w:ascii="Times New Roman" w:hAnsi="Times New Roman" w:eastAsia="宋体" w:cs="Times New Roman"/>
                <w:sz w:val="24"/>
                <w:shd w:val="clear" w:color="auto" w:fill="FFFFFF"/>
              </w:rPr>
            </w:pPr>
          </w:p>
        </w:tc>
        <w:tc>
          <w:tcPr>
            <w:tcW w:w="851" w:type="dxa"/>
            <w:vMerge w:val="restart"/>
            <w:tcBorders>
              <w:tl2br w:val="nil"/>
              <w:tr2bl w:val="nil"/>
            </w:tcBorders>
            <w:vAlign w:val="center"/>
          </w:tcPr>
          <w:p w14:paraId="32F42468">
            <w:pPr>
              <w:ind w:left="22" w:hanging="21" w:hangingChars="9"/>
              <w:jc w:val="center"/>
              <w:rPr>
                <w:rFonts w:ascii="Times New Roman" w:hAnsi="Times New Roman" w:eastAsia="宋体" w:cs="Times New Roman"/>
                <w:sz w:val="24"/>
                <w:shd w:val="clear" w:color="auto" w:fill="FFFFFF"/>
              </w:rPr>
            </w:pPr>
            <w:r>
              <w:rPr>
                <w:rFonts w:ascii="Times New Roman" w:hAnsi="Times New Roman" w:eastAsia="宋体" w:cs="Times New Roman"/>
                <w:sz w:val="24"/>
                <w:shd w:val="clear" w:color="auto" w:fill="FFFFFF"/>
              </w:rPr>
              <w:t>硕士</w:t>
            </w:r>
          </w:p>
        </w:tc>
        <w:tc>
          <w:tcPr>
            <w:tcW w:w="2126" w:type="dxa"/>
            <w:tcBorders>
              <w:tl2br w:val="nil"/>
              <w:tr2bl w:val="nil"/>
            </w:tcBorders>
            <w:vAlign w:val="center"/>
          </w:tcPr>
          <w:p w14:paraId="5B257083">
            <w:pPr>
              <w:ind w:left="22" w:hanging="21" w:hangingChars="9"/>
              <w:jc w:val="center"/>
              <w:rPr>
                <w:rFonts w:ascii="Times New Roman" w:hAnsi="Times New Roman" w:eastAsia="宋体" w:cs="Times New Roman"/>
                <w:sz w:val="24"/>
                <w:shd w:val="clear" w:color="auto" w:fill="FFFFFF"/>
              </w:rPr>
            </w:pPr>
            <w:r>
              <w:rPr>
                <w:rFonts w:ascii="Times New Roman" w:hAnsi="Times New Roman" w:eastAsia="宋体" w:cs="Times New Roman"/>
                <w:sz w:val="24"/>
                <w:shd w:val="clear" w:color="auto" w:fill="FFFFFF"/>
              </w:rPr>
              <w:t>新生（推免）</w:t>
            </w:r>
          </w:p>
        </w:tc>
        <w:tc>
          <w:tcPr>
            <w:tcW w:w="1746" w:type="dxa"/>
            <w:tcBorders>
              <w:tl2br w:val="nil"/>
              <w:tr2bl w:val="nil"/>
            </w:tcBorders>
            <w:vAlign w:val="center"/>
          </w:tcPr>
          <w:p w14:paraId="465A3D69">
            <w:pPr>
              <w:ind w:left="22" w:hanging="21" w:hangingChars="9"/>
              <w:jc w:val="center"/>
              <w:rPr>
                <w:rFonts w:ascii="Times New Roman" w:hAnsi="Times New Roman" w:eastAsia="宋体" w:cs="Times New Roman"/>
                <w:sz w:val="24"/>
              </w:rPr>
            </w:pPr>
            <w:r>
              <w:rPr>
                <w:rFonts w:ascii="Times New Roman" w:hAnsi="Times New Roman" w:eastAsia="宋体" w:cs="Times New Roman"/>
                <w:sz w:val="24"/>
              </w:rPr>
              <w:t>10000元</w:t>
            </w:r>
          </w:p>
        </w:tc>
        <w:tc>
          <w:tcPr>
            <w:tcW w:w="1417" w:type="dxa"/>
            <w:tcBorders>
              <w:tl2br w:val="nil"/>
              <w:tr2bl w:val="nil"/>
            </w:tcBorders>
            <w:vAlign w:val="center"/>
          </w:tcPr>
          <w:p w14:paraId="0EF2CD99">
            <w:pPr>
              <w:ind w:left="22" w:hanging="21" w:hangingChars="9"/>
              <w:jc w:val="center"/>
              <w:rPr>
                <w:rFonts w:ascii="Times New Roman" w:hAnsi="Times New Roman" w:eastAsia="宋体" w:cs="Times New Roman"/>
                <w:sz w:val="24"/>
              </w:rPr>
            </w:pPr>
            <w:r>
              <w:rPr>
                <w:rFonts w:ascii="Times New Roman" w:hAnsi="Times New Roman" w:eastAsia="宋体" w:cs="Times New Roman"/>
                <w:sz w:val="24"/>
              </w:rPr>
              <w:t>100%</w:t>
            </w:r>
          </w:p>
        </w:tc>
      </w:tr>
      <w:tr w14:paraId="072C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520" w:type="dxa"/>
            <w:vMerge w:val="continue"/>
            <w:tcBorders>
              <w:tl2br w:val="nil"/>
              <w:tr2bl w:val="nil"/>
            </w:tcBorders>
            <w:vAlign w:val="center"/>
          </w:tcPr>
          <w:p w14:paraId="3313356A">
            <w:pPr>
              <w:ind w:left="22" w:hanging="21" w:hangingChars="9"/>
              <w:jc w:val="center"/>
              <w:rPr>
                <w:rFonts w:ascii="Times New Roman" w:hAnsi="Times New Roman" w:eastAsia="宋体" w:cs="Times New Roman"/>
                <w:sz w:val="24"/>
                <w:shd w:val="clear" w:color="auto" w:fill="FFFFFF"/>
              </w:rPr>
            </w:pPr>
          </w:p>
        </w:tc>
        <w:tc>
          <w:tcPr>
            <w:tcW w:w="851" w:type="dxa"/>
            <w:vMerge w:val="continue"/>
            <w:tcBorders>
              <w:tl2br w:val="nil"/>
              <w:tr2bl w:val="nil"/>
            </w:tcBorders>
            <w:vAlign w:val="center"/>
          </w:tcPr>
          <w:p w14:paraId="02F4EE11">
            <w:pPr>
              <w:ind w:left="22" w:hanging="21" w:hangingChars="9"/>
              <w:jc w:val="center"/>
              <w:rPr>
                <w:rFonts w:ascii="Times New Roman" w:hAnsi="Times New Roman" w:eastAsia="宋体" w:cs="Times New Roman"/>
                <w:sz w:val="24"/>
                <w:shd w:val="clear" w:color="auto" w:fill="FFFFFF"/>
              </w:rPr>
            </w:pPr>
          </w:p>
        </w:tc>
        <w:tc>
          <w:tcPr>
            <w:tcW w:w="2126" w:type="dxa"/>
            <w:tcBorders>
              <w:tl2br w:val="nil"/>
              <w:tr2bl w:val="nil"/>
            </w:tcBorders>
            <w:vAlign w:val="center"/>
          </w:tcPr>
          <w:p w14:paraId="095DAB64">
            <w:pPr>
              <w:ind w:left="22" w:hanging="21" w:hangingChars="9"/>
              <w:jc w:val="center"/>
              <w:rPr>
                <w:rFonts w:ascii="Times New Roman" w:hAnsi="Times New Roman" w:eastAsia="宋体" w:cs="Times New Roman"/>
                <w:sz w:val="24"/>
                <w:shd w:val="clear" w:color="auto" w:fill="FFFFFF"/>
              </w:rPr>
            </w:pPr>
            <w:r>
              <w:rPr>
                <w:rFonts w:ascii="Times New Roman" w:hAnsi="Times New Roman" w:eastAsia="宋体" w:cs="Times New Roman"/>
                <w:sz w:val="24"/>
                <w:shd w:val="clear" w:color="auto" w:fill="FFFFFF"/>
              </w:rPr>
              <w:t>新生（非推免）</w:t>
            </w:r>
          </w:p>
        </w:tc>
        <w:tc>
          <w:tcPr>
            <w:tcW w:w="1746" w:type="dxa"/>
            <w:tcBorders>
              <w:tl2br w:val="nil"/>
              <w:tr2bl w:val="nil"/>
            </w:tcBorders>
            <w:vAlign w:val="center"/>
          </w:tcPr>
          <w:p w14:paraId="6984CB0F">
            <w:pPr>
              <w:ind w:left="22" w:hanging="21" w:hangingChars="9"/>
              <w:jc w:val="center"/>
              <w:rPr>
                <w:rFonts w:ascii="Times New Roman" w:hAnsi="Times New Roman" w:eastAsia="宋体" w:cs="Times New Roman"/>
                <w:sz w:val="24"/>
              </w:rPr>
            </w:pPr>
            <w:r>
              <w:rPr>
                <w:rFonts w:ascii="Times New Roman" w:hAnsi="Times New Roman" w:eastAsia="宋体" w:cs="Times New Roman"/>
                <w:sz w:val="24"/>
              </w:rPr>
              <w:t>8000元</w:t>
            </w:r>
          </w:p>
        </w:tc>
        <w:tc>
          <w:tcPr>
            <w:tcW w:w="1417" w:type="dxa"/>
            <w:tcBorders>
              <w:tl2br w:val="nil"/>
              <w:tr2bl w:val="nil"/>
            </w:tcBorders>
            <w:vAlign w:val="center"/>
          </w:tcPr>
          <w:p w14:paraId="266EE3F8">
            <w:pPr>
              <w:ind w:left="22" w:hanging="21" w:hangingChars="9"/>
              <w:jc w:val="center"/>
              <w:rPr>
                <w:rFonts w:ascii="Times New Roman" w:hAnsi="Times New Roman" w:eastAsia="宋体" w:cs="Times New Roman"/>
                <w:sz w:val="24"/>
              </w:rPr>
            </w:pPr>
            <w:r>
              <w:rPr>
                <w:rFonts w:ascii="Times New Roman" w:hAnsi="Times New Roman" w:eastAsia="宋体" w:cs="Times New Roman"/>
                <w:sz w:val="24"/>
              </w:rPr>
              <w:t>100%</w:t>
            </w:r>
          </w:p>
        </w:tc>
      </w:tr>
      <w:tr w14:paraId="7913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520" w:type="dxa"/>
            <w:vMerge w:val="continue"/>
            <w:tcBorders>
              <w:tl2br w:val="nil"/>
              <w:tr2bl w:val="nil"/>
            </w:tcBorders>
            <w:vAlign w:val="center"/>
          </w:tcPr>
          <w:p w14:paraId="4EDFA6BB">
            <w:pPr>
              <w:ind w:left="22" w:hanging="21" w:hangingChars="9"/>
              <w:jc w:val="center"/>
              <w:rPr>
                <w:rFonts w:ascii="Times New Roman" w:hAnsi="Times New Roman" w:eastAsia="宋体" w:cs="Times New Roman"/>
                <w:sz w:val="24"/>
                <w:shd w:val="clear" w:color="auto" w:fill="FFFFFF"/>
              </w:rPr>
            </w:pPr>
          </w:p>
        </w:tc>
        <w:tc>
          <w:tcPr>
            <w:tcW w:w="851" w:type="dxa"/>
            <w:vMerge w:val="continue"/>
            <w:tcBorders>
              <w:tl2br w:val="nil"/>
              <w:tr2bl w:val="nil"/>
            </w:tcBorders>
            <w:vAlign w:val="center"/>
          </w:tcPr>
          <w:p w14:paraId="750C32F1">
            <w:pPr>
              <w:ind w:left="22" w:hanging="21" w:hangingChars="9"/>
              <w:jc w:val="center"/>
              <w:rPr>
                <w:rFonts w:ascii="Times New Roman" w:hAnsi="Times New Roman" w:eastAsia="宋体" w:cs="Times New Roman"/>
                <w:sz w:val="24"/>
                <w:shd w:val="clear" w:color="auto" w:fill="FFFFFF"/>
              </w:rPr>
            </w:pPr>
          </w:p>
        </w:tc>
        <w:tc>
          <w:tcPr>
            <w:tcW w:w="2126" w:type="dxa"/>
            <w:tcBorders>
              <w:tl2br w:val="nil"/>
              <w:tr2bl w:val="nil"/>
            </w:tcBorders>
            <w:vAlign w:val="center"/>
          </w:tcPr>
          <w:p w14:paraId="700B2DAD">
            <w:pPr>
              <w:ind w:left="22" w:hanging="21" w:hangingChars="9"/>
              <w:jc w:val="center"/>
              <w:rPr>
                <w:rFonts w:ascii="Times New Roman" w:hAnsi="Times New Roman" w:eastAsia="宋体" w:cs="Times New Roman"/>
                <w:sz w:val="24"/>
                <w:shd w:val="clear" w:color="auto" w:fill="FFFFFF"/>
              </w:rPr>
            </w:pPr>
            <w:r>
              <w:rPr>
                <w:rFonts w:ascii="Times New Roman" w:hAnsi="Times New Roman" w:eastAsia="宋体" w:cs="Times New Roman"/>
                <w:sz w:val="24"/>
                <w:shd w:val="clear" w:color="auto" w:fill="FFFFFF"/>
              </w:rPr>
              <w:t>高年级一等奖</w:t>
            </w:r>
          </w:p>
        </w:tc>
        <w:tc>
          <w:tcPr>
            <w:tcW w:w="1746" w:type="dxa"/>
            <w:tcBorders>
              <w:tl2br w:val="nil"/>
              <w:tr2bl w:val="nil"/>
            </w:tcBorders>
            <w:vAlign w:val="center"/>
          </w:tcPr>
          <w:p w14:paraId="77E435DD">
            <w:pPr>
              <w:ind w:left="22" w:hanging="21" w:hangingChars="9"/>
              <w:jc w:val="center"/>
              <w:rPr>
                <w:rFonts w:ascii="Times New Roman" w:hAnsi="Times New Roman" w:eastAsia="宋体" w:cs="Times New Roman"/>
                <w:sz w:val="24"/>
              </w:rPr>
            </w:pPr>
            <w:r>
              <w:rPr>
                <w:rFonts w:ascii="Times New Roman" w:hAnsi="Times New Roman" w:eastAsia="宋体" w:cs="Times New Roman"/>
                <w:sz w:val="24"/>
              </w:rPr>
              <w:t>12000元</w:t>
            </w:r>
          </w:p>
        </w:tc>
        <w:tc>
          <w:tcPr>
            <w:tcW w:w="1417" w:type="dxa"/>
            <w:tcBorders>
              <w:tl2br w:val="nil"/>
              <w:tr2bl w:val="nil"/>
            </w:tcBorders>
            <w:vAlign w:val="center"/>
          </w:tcPr>
          <w:p w14:paraId="08F34E68">
            <w:pPr>
              <w:ind w:left="22" w:hanging="21" w:hangingChars="9"/>
              <w:jc w:val="center"/>
              <w:rPr>
                <w:rFonts w:ascii="Times New Roman" w:hAnsi="Times New Roman" w:eastAsia="宋体" w:cs="Times New Roman"/>
                <w:sz w:val="24"/>
              </w:rPr>
            </w:pPr>
            <w:r>
              <w:rPr>
                <w:rFonts w:ascii="Times New Roman" w:hAnsi="Times New Roman" w:eastAsia="宋体" w:cs="Times New Roman"/>
                <w:sz w:val="24"/>
              </w:rPr>
              <w:t>30%</w:t>
            </w:r>
          </w:p>
        </w:tc>
      </w:tr>
      <w:tr w14:paraId="60AF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520" w:type="dxa"/>
            <w:vMerge w:val="continue"/>
            <w:tcBorders>
              <w:tl2br w:val="nil"/>
              <w:tr2bl w:val="nil"/>
            </w:tcBorders>
            <w:vAlign w:val="center"/>
          </w:tcPr>
          <w:p w14:paraId="02F95FD2">
            <w:pPr>
              <w:ind w:left="22" w:hanging="21" w:hangingChars="9"/>
              <w:jc w:val="center"/>
              <w:rPr>
                <w:rFonts w:ascii="Times New Roman" w:hAnsi="Times New Roman" w:eastAsia="宋体" w:cs="Times New Roman"/>
                <w:sz w:val="24"/>
                <w:shd w:val="clear" w:color="auto" w:fill="FFFFFF"/>
              </w:rPr>
            </w:pPr>
          </w:p>
        </w:tc>
        <w:tc>
          <w:tcPr>
            <w:tcW w:w="851" w:type="dxa"/>
            <w:vMerge w:val="continue"/>
            <w:tcBorders>
              <w:tl2br w:val="nil"/>
              <w:tr2bl w:val="nil"/>
            </w:tcBorders>
            <w:vAlign w:val="center"/>
          </w:tcPr>
          <w:p w14:paraId="33DDBCDA">
            <w:pPr>
              <w:ind w:left="22" w:hanging="21" w:hangingChars="9"/>
              <w:jc w:val="center"/>
              <w:rPr>
                <w:rFonts w:ascii="Times New Roman" w:hAnsi="Times New Roman" w:eastAsia="宋体" w:cs="Times New Roman"/>
                <w:sz w:val="24"/>
                <w:shd w:val="clear" w:color="auto" w:fill="FFFFFF"/>
              </w:rPr>
            </w:pPr>
          </w:p>
        </w:tc>
        <w:tc>
          <w:tcPr>
            <w:tcW w:w="2126" w:type="dxa"/>
            <w:tcBorders>
              <w:tl2br w:val="nil"/>
              <w:tr2bl w:val="nil"/>
            </w:tcBorders>
            <w:vAlign w:val="center"/>
          </w:tcPr>
          <w:p w14:paraId="5CA2CE90">
            <w:pPr>
              <w:ind w:left="22" w:hanging="21" w:hangingChars="9"/>
              <w:jc w:val="center"/>
              <w:rPr>
                <w:rFonts w:ascii="Times New Roman" w:hAnsi="Times New Roman" w:eastAsia="宋体" w:cs="Times New Roman"/>
                <w:sz w:val="24"/>
                <w:shd w:val="clear" w:color="auto" w:fill="FFFFFF"/>
              </w:rPr>
            </w:pPr>
            <w:r>
              <w:rPr>
                <w:rFonts w:ascii="Times New Roman" w:hAnsi="Times New Roman" w:eastAsia="宋体" w:cs="Times New Roman"/>
                <w:sz w:val="24"/>
                <w:shd w:val="clear" w:color="auto" w:fill="FFFFFF"/>
              </w:rPr>
              <w:t>高年级二等奖</w:t>
            </w:r>
          </w:p>
        </w:tc>
        <w:tc>
          <w:tcPr>
            <w:tcW w:w="1746" w:type="dxa"/>
            <w:tcBorders>
              <w:tl2br w:val="nil"/>
              <w:tr2bl w:val="nil"/>
            </w:tcBorders>
            <w:vAlign w:val="center"/>
          </w:tcPr>
          <w:p w14:paraId="6CDB5336">
            <w:pPr>
              <w:ind w:left="22" w:hanging="21" w:hangingChars="9"/>
              <w:jc w:val="center"/>
              <w:rPr>
                <w:rFonts w:ascii="Times New Roman" w:hAnsi="Times New Roman" w:eastAsia="宋体" w:cs="Times New Roman"/>
                <w:sz w:val="24"/>
              </w:rPr>
            </w:pPr>
            <w:r>
              <w:rPr>
                <w:rFonts w:ascii="Times New Roman" w:hAnsi="Times New Roman" w:eastAsia="宋体" w:cs="Times New Roman"/>
                <w:sz w:val="24"/>
              </w:rPr>
              <w:t>8000元</w:t>
            </w:r>
          </w:p>
        </w:tc>
        <w:tc>
          <w:tcPr>
            <w:tcW w:w="1417" w:type="dxa"/>
            <w:tcBorders>
              <w:tl2br w:val="nil"/>
              <w:tr2bl w:val="nil"/>
            </w:tcBorders>
            <w:vAlign w:val="center"/>
          </w:tcPr>
          <w:p w14:paraId="351423D9">
            <w:pPr>
              <w:ind w:left="22" w:hanging="21" w:hangingChars="9"/>
              <w:jc w:val="center"/>
              <w:rPr>
                <w:rFonts w:ascii="Times New Roman" w:hAnsi="Times New Roman" w:eastAsia="宋体" w:cs="Times New Roman"/>
                <w:sz w:val="24"/>
              </w:rPr>
            </w:pPr>
            <w:r>
              <w:rPr>
                <w:rFonts w:ascii="Times New Roman" w:hAnsi="Times New Roman" w:eastAsia="宋体" w:cs="Times New Roman"/>
                <w:sz w:val="24"/>
              </w:rPr>
              <w:t>60%</w:t>
            </w:r>
          </w:p>
        </w:tc>
      </w:tr>
      <w:tr w14:paraId="6C05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520" w:type="dxa"/>
            <w:vMerge w:val="continue"/>
            <w:tcBorders>
              <w:tl2br w:val="nil"/>
              <w:tr2bl w:val="nil"/>
            </w:tcBorders>
            <w:vAlign w:val="center"/>
          </w:tcPr>
          <w:p w14:paraId="5AC6E0FD">
            <w:pPr>
              <w:ind w:left="22" w:hanging="21" w:hangingChars="9"/>
              <w:jc w:val="center"/>
              <w:rPr>
                <w:rFonts w:ascii="Times New Roman" w:hAnsi="Times New Roman" w:eastAsia="宋体" w:cs="Times New Roman"/>
                <w:sz w:val="24"/>
                <w:shd w:val="clear" w:color="auto" w:fill="FFFFFF"/>
              </w:rPr>
            </w:pPr>
          </w:p>
        </w:tc>
        <w:tc>
          <w:tcPr>
            <w:tcW w:w="851" w:type="dxa"/>
            <w:vMerge w:val="continue"/>
            <w:tcBorders>
              <w:tl2br w:val="nil"/>
              <w:tr2bl w:val="nil"/>
            </w:tcBorders>
            <w:vAlign w:val="center"/>
          </w:tcPr>
          <w:p w14:paraId="1AB22699">
            <w:pPr>
              <w:ind w:left="22" w:hanging="21" w:hangingChars="9"/>
              <w:jc w:val="center"/>
              <w:rPr>
                <w:rFonts w:ascii="Times New Roman" w:hAnsi="Times New Roman" w:eastAsia="宋体" w:cs="Times New Roman"/>
                <w:sz w:val="24"/>
                <w:shd w:val="clear" w:color="auto" w:fill="FFFFFF"/>
              </w:rPr>
            </w:pPr>
          </w:p>
        </w:tc>
        <w:tc>
          <w:tcPr>
            <w:tcW w:w="2126" w:type="dxa"/>
            <w:tcBorders>
              <w:tl2br w:val="nil"/>
              <w:tr2bl w:val="nil"/>
            </w:tcBorders>
            <w:vAlign w:val="center"/>
          </w:tcPr>
          <w:p w14:paraId="3F7F8982">
            <w:pPr>
              <w:ind w:left="22" w:hanging="21" w:hangingChars="9"/>
              <w:jc w:val="center"/>
              <w:rPr>
                <w:rFonts w:ascii="Times New Roman" w:hAnsi="Times New Roman" w:eastAsia="宋体" w:cs="Times New Roman"/>
                <w:sz w:val="24"/>
                <w:shd w:val="clear" w:color="auto" w:fill="FFFFFF"/>
              </w:rPr>
            </w:pPr>
            <w:r>
              <w:rPr>
                <w:rFonts w:ascii="Times New Roman" w:hAnsi="Times New Roman" w:eastAsia="宋体" w:cs="Times New Roman"/>
                <w:sz w:val="24"/>
                <w:shd w:val="clear" w:color="auto" w:fill="FFFFFF"/>
              </w:rPr>
              <w:t>高年级三等奖</w:t>
            </w:r>
          </w:p>
        </w:tc>
        <w:tc>
          <w:tcPr>
            <w:tcW w:w="1746" w:type="dxa"/>
            <w:tcBorders>
              <w:tl2br w:val="nil"/>
              <w:tr2bl w:val="nil"/>
            </w:tcBorders>
            <w:vAlign w:val="center"/>
          </w:tcPr>
          <w:p w14:paraId="1ACB1679">
            <w:pPr>
              <w:ind w:left="22" w:hanging="21" w:hangingChars="9"/>
              <w:jc w:val="center"/>
              <w:rPr>
                <w:rFonts w:ascii="Times New Roman" w:hAnsi="Times New Roman" w:eastAsia="宋体" w:cs="Times New Roman"/>
                <w:sz w:val="24"/>
              </w:rPr>
            </w:pPr>
            <w:r>
              <w:rPr>
                <w:rFonts w:ascii="Times New Roman" w:hAnsi="Times New Roman" w:eastAsia="宋体" w:cs="Times New Roman"/>
                <w:sz w:val="24"/>
              </w:rPr>
              <w:t>5000元</w:t>
            </w:r>
          </w:p>
        </w:tc>
        <w:tc>
          <w:tcPr>
            <w:tcW w:w="1417" w:type="dxa"/>
            <w:tcBorders>
              <w:tl2br w:val="nil"/>
              <w:tr2bl w:val="nil"/>
            </w:tcBorders>
            <w:vAlign w:val="center"/>
          </w:tcPr>
          <w:p w14:paraId="7C29D60D">
            <w:pPr>
              <w:ind w:left="22" w:hanging="21" w:hangingChars="9"/>
              <w:jc w:val="center"/>
              <w:rPr>
                <w:rFonts w:ascii="Times New Roman" w:hAnsi="Times New Roman" w:eastAsia="宋体" w:cs="Times New Roman"/>
                <w:sz w:val="24"/>
              </w:rPr>
            </w:pPr>
            <w:r>
              <w:rPr>
                <w:rFonts w:ascii="Times New Roman" w:hAnsi="Times New Roman" w:eastAsia="宋体" w:cs="Times New Roman"/>
                <w:sz w:val="24"/>
              </w:rPr>
              <w:t>10%</w:t>
            </w:r>
          </w:p>
        </w:tc>
      </w:tr>
    </w:tbl>
    <w:p w14:paraId="3235FC47">
      <w:pPr>
        <w:pStyle w:val="2"/>
        <w:spacing w:line="316" w:lineRule="auto"/>
        <w:ind w:left="22" w:right="275" w:hanging="21" w:hangingChars="9"/>
        <w:jc w:val="center"/>
        <w:rPr>
          <w:rFonts w:ascii="黑体" w:hAnsi="黑体" w:eastAsia="黑体" w:cs="黑体"/>
          <w:spacing w:val="1"/>
          <w:sz w:val="24"/>
          <w:szCs w:val="24"/>
        </w:rPr>
      </w:pPr>
    </w:p>
    <w:p w14:paraId="5C1BEBCF">
      <w:pPr>
        <w:pStyle w:val="2"/>
        <w:spacing w:line="316" w:lineRule="auto"/>
        <w:ind w:left="22" w:right="275" w:hanging="21" w:hangingChars="9"/>
        <w:jc w:val="center"/>
        <w:rPr>
          <w:rFonts w:ascii="黑体" w:hAnsi="黑体" w:eastAsia="黑体" w:cs="黑体"/>
          <w:spacing w:val="1"/>
          <w:sz w:val="24"/>
          <w:szCs w:val="24"/>
        </w:rPr>
      </w:pPr>
    </w:p>
    <w:p w14:paraId="435A1696">
      <w:pPr>
        <w:spacing w:after="312" w:afterLines="100" w:line="600" w:lineRule="exact"/>
        <w:jc w:val="center"/>
        <w:rPr>
          <w:rStyle w:val="8"/>
          <w:rFonts w:ascii="黑体" w:hAnsi="黑体" w:eastAsia="黑体" w:cstheme="majorEastAsia"/>
          <w:b w:val="0"/>
          <w:bCs w:val="0"/>
          <w:sz w:val="32"/>
          <w:szCs w:val="32"/>
        </w:rPr>
      </w:pPr>
      <w:r>
        <w:rPr>
          <w:rStyle w:val="8"/>
          <w:rFonts w:hint="eastAsia" w:ascii="黑体" w:hAnsi="黑体" w:eastAsia="黑体" w:cstheme="majorEastAsia"/>
          <w:b w:val="0"/>
          <w:bCs w:val="0"/>
          <w:sz w:val="32"/>
          <w:szCs w:val="32"/>
        </w:rPr>
        <w:t>第二章  研究生学业奖学金评定条件</w:t>
      </w:r>
    </w:p>
    <w:p w14:paraId="72214B0F">
      <w:pPr>
        <w:ind w:firstLine="594" w:firstLineChars="200"/>
        <w:rPr>
          <w:rFonts w:ascii="Times New Roman" w:hAnsi="Times New Roman" w:eastAsia="宋体" w:cs="Times New Roman"/>
          <w:spacing w:val="7"/>
          <w:sz w:val="28"/>
          <w:szCs w:val="28"/>
        </w:rPr>
      </w:pPr>
      <w:r>
        <w:rPr>
          <w:rFonts w:ascii="Times New Roman" w:hAnsi="Times New Roman" w:eastAsia="宋体" w:cs="Times New Roman"/>
          <w:b/>
          <w:bCs/>
          <w:spacing w:val="8"/>
          <w:sz w:val="28"/>
          <w:szCs w:val="28"/>
        </w:rPr>
        <w:t xml:space="preserve">第四条  </w:t>
      </w:r>
      <w:r>
        <w:rPr>
          <w:rFonts w:ascii="Times New Roman" w:hAnsi="Times New Roman" w:eastAsia="宋体" w:cs="Times New Roman"/>
          <w:spacing w:val="7"/>
          <w:sz w:val="28"/>
          <w:szCs w:val="28"/>
        </w:rPr>
        <w:t>研究生学业奖学金申请基本条件</w:t>
      </w:r>
    </w:p>
    <w:p w14:paraId="02498519">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（一）热爱祖国，热爱社会主义，拥护中国共产党的领导；</w:t>
      </w:r>
    </w:p>
    <w:p w14:paraId="5983D34B">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（二）遵守宪法和法律，遵守学校规章制度；</w:t>
      </w:r>
    </w:p>
    <w:p w14:paraId="314DBB77">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（三）诚实守信，品学兼优；</w:t>
      </w:r>
    </w:p>
    <w:p w14:paraId="0E1D9F32">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（四）积极参与科学研究、学术活动、社会实践，社会服务、学生工作等活动。</w:t>
      </w:r>
    </w:p>
    <w:p w14:paraId="21710846">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 xml:space="preserve"> </w:t>
      </w:r>
      <w:r>
        <w:rPr>
          <w:rFonts w:ascii="Times New Roman" w:hAnsi="Times New Roman" w:eastAsia="宋体" w:cs="Times New Roman"/>
          <w:b/>
          <w:bCs/>
          <w:spacing w:val="8"/>
          <w:sz w:val="28"/>
          <w:szCs w:val="28"/>
        </w:rPr>
        <w:t xml:space="preserve">第五条  </w:t>
      </w:r>
      <w:r>
        <w:rPr>
          <w:rFonts w:ascii="Times New Roman" w:hAnsi="Times New Roman" w:eastAsia="宋体" w:cs="Times New Roman"/>
          <w:spacing w:val="7"/>
          <w:sz w:val="28"/>
          <w:szCs w:val="28"/>
        </w:rPr>
        <w:t>研究生出现下列情况之一的，不能参评研究生奖学金：</w:t>
      </w:r>
    </w:p>
    <w:p w14:paraId="0857275F">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（一）未按期完成培养方案所规定的学位课程（指：公共学位课、学科基础课、专业课，下同）学分要求者；</w:t>
      </w:r>
    </w:p>
    <w:p w14:paraId="128E14FF">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（二）参评时学位课程考试不及格者，本办法及附件另有规定的除外；</w:t>
      </w:r>
    </w:p>
    <w:p w14:paraId="6FC837ED">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（三）未按期完成研究生学位论文开题报告、博士生资格考试或博士生中期考核者；</w:t>
      </w:r>
    </w:p>
    <w:p w14:paraId="6F166F43">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（四）本学年未按时注册者；</w:t>
      </w:r>
    </w:p>
    <w:p w14:paraId="4AB75A65">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（五）参评学年学籍状态处于休学、保留学籍者；</w:t>
      </w:r>
    </w:p>
    <w:p w14:paraId="7713B4AC">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（六）上学年违反国家法律、校纪校规受到纪律处分者；</w:t>
      </w:r>
    </w:p>
    <w:p w14:paraId="4A071E79">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（七）上学年有抄袭剽窃、弄虚作假等学术不端行为经查证属实者；</w:t>
      </w:r>
    </w:p>
    <w:p w14:paraId="0E28E8B1">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（八）上学年在科学研究和实验工作、临床实践中造成重大事故及损失者；</w:t>
      </w:r>
    </w:p>
    <w:p w14:paraId="527394E2">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（九）上学年存在其他损害学校声誉的不当行为者。</w:t>
      </w:r>
    </w:p>
    <w:p w14:paraId="37237FFD">
      <w:pPr>
        <w:ind w:firstLine="594" w:firstLineChars="200"/>
        <w:rPr>
          <w:rFonts w:ascii="Times New Roman" w:hAnsi="Times New Roman" w:eastAsia="宋体" w:cs="Times New Roman"/>
          <w:spacing w:val="7"/>
          <w:sz w:val="28"/>
          <w:szCs w:val="28"/>
        </w:rPr>
      </w:pPr>
      <w:r>
        <w:rPr>
          <w:rFonts w:ascii="Times New Roman" w:hAnsi="Times New Roman" w:eastAsia="宋体" w:cs="Times New Roman"/>
          <w:b/>
          <w:bCs/>
          <w:spacing w:val="8"/>
          <w:sz w:val="28"/>
          <w:szCs w:val="28"/>
        </w:rPr>
        <w:t xml:space="preserve">第六条  </w:t>
      </w:r>
      <w:r>
        <w:rPr>
          <w:rFonts w:ascii="Times New Roman" w:hAnsi="Times New Roman" w:eastAsia="宋体" w:cs="Times New Roman"/>
          <w:spacing w:val="7"/>
          <w:sz w:val="28"/>
          <w:szCs w:val="28"/>
        </w:rPr>
        <w:t>研究生创新成果须符合学校和二级单位评定要求。创新成果认定周期为上一年9月1日至当年8月31日 (基本学制内最后一学年可延长至申报截止日)。</w:t>
      </w:r>
    </w:p>
    <w:p w14:paraId="67F1D73D">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一等学业奖学金创新成果基本要求：</w:t>
      </w:r>
    </w:p>
    <w:p w14:paraId="43DB2031">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（一）博士研究生</w:t>
      </w:r>
    </w:p>
    <w:p w14:paraId="486EDA42">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学年度创新成果须满足以下基本条件之一：</w:t>
      </w:r>
    </w:p>
    <w:p w14:paraId="5FB7E360">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1.以中南大学湘雅三医院为第一署名单位</w:t>
      </w:r>
      <w:r>
        <w:rPr>
          <w:rFonts w:hint="eastAsia" w:ascii="Times New Roman" w:hAnsi="Times New Roman" w:eastAsia="宋体" w:cs="Times New Roman"/>
          <w:spacing w:val="7"/>
          <w:sz w:val="28"/>
          <w:szCs w:val="28"/>
          <w:lang w:eastAsia="zh-CN"/>
        </w:rPr>
        <w:t>，</w:t>
      </w:r>
      <w:r>
        <w:rPr>
          <w:rFonts w:ascii="Times New Roman" w:hAnsi="Times New Roman" w:eastAsia="宋体" w:cs="Times New Roman"/>
          <w:spacing w:val="7"/>
          <w:sz w:val="28"/>
          <w:szCs w:val="28"/>
        </w:rPr>
        <w:t>以第一作者或导师为第一作者、研究生为第二作者已发表(在线发表即可视为正式发表，网上可以查到doi号</w:t>
      </w:r>
      <w:r>
        <w:rPr>
          <w:rFonts w:hint="eastAsia" w:ascii="Times New Roman" w:hAnsi="Times New Roman" w:eastAsia="宋体" w:cs="Times New Roman"/>
          <w:spacing w:val="7"/>
          <w:sz w:val="28"/>
          <w:szCs w:val="28"/>
          <w:lang w:eastAsia="zh-CN"/>
        </w:rPr>
        <w:t>，</w:t>
      </w:r>
      <w:r>
        <w:rPr>
          <w:rFonts w:ascii="Times New Roman" w:hAnsi="Times New Roman" w:eastAsia="宋体" w:cs="Times New Roman"/>
          <w:spacing w:val="7"/>
          <w:sz w:val="28"/>
          <w:szCs w:val="28"/>
        </w:rPr>
        <w:t>下同)学术论文的基本要求：</w:t>
      </w:r>
    </w:p>
    <w:p w14:paraId="2C9ACC11">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学术论文：学校核定的一级学科重要期刊目录 A</w:t>
      </w:r>
      <w:r>
        <w:rPr>
          <w:rFonts w:hint="eastAsia" w:ascii="Times New Roman" w:hAnsi="Times New Roman" w:eastAsia="宋体" w:cs="Times New Roman"/>
          <w:spacing w:val="7"/>
          <w:sz w:val="28"/>
          <w:szCs w:val="28"/>
          <w:lang w:eastAsia="zh-CN"/>
        </w:rPr>
        <w:t>，</w:t>
      </w:r>
      <w:r>
        <w:rPr>
          <w:rFonts w:ascii="Times New Roman" w:hAnsi="Times New Roman" w:eastAsia="宋体" w:cs="Times New Roman"/>
          <w:spacing w:val="7"/>
          <w:sz w:val="28"/>
          <w:szCs w:val="28"/>
        </w:rPr>
        <w:t>B</w:t>
      </w:r>
      <w:r>
        <w:rPr>
          <w:rFonts w:hint="eastAsia" w:ascii="Times New Roman" w:hAnsi="Times New Roman" w:eastAsia="宋体" w:cs="Times New Roman"/>
          <w:spacing w:val="7"/>
          <w:sz w:val="28"/>
          <w:szCs w:val="28"/>
          <w:lang w:eastAsia="zh-CN"/>
        </w:rPr>
        <w:t>，</w:t>
      </w:r>
      <w:r>
        <w:rPr>
          <w:rFonts w:ascii="Times New Roman" w:hAnsi="Times New Roman" w:eastAsia="宋体" w:cs="Times New Roman"/>
          <w:spacing w:val="7"/>
          <w:sz w:val="28"/>
          <w:szCs w:val="28"/>
        </w:rPr>
        <w:t>C 级期刊 (包括 SCI</w:t>
      </w:r>
      <w:r>
        <w:rPr>
          <w:rFonts w:hint="eastAsia" w:ascii="Times New Roman" w:hAnsi="Times New Roman" w:eastAsia="宋体" w:cs="Times New Roman"/>
          <w:spacing w:val="7"/>
          <w:sz w:val="28"/>
          <w:szCs w:val="28"/>
          <w:lang w:val="en-US" w:eastAsia="zh-CN"/>
        </w:rPr>
        <w:t>，</w:t>
      </w:r>
      <w:r>
        <w:rPr>
          <w:rFonts w:ascii="Times New Roman" w:hAnsi="Times New Roman" w:eastAsia="宋体" w:cs="Times New Roman"/>
          <w:spacing w:val="7"/>
          <w:sz w:val="28"/>
          <w:szCs w:val="28"/>
        </w:rPr>
        <w:t>SSCI或A&amp;HCI英文期刊Q1</w:t>
      </w:r>
      <w:r>
        <w:rPr>
          <w:rFonts w:hint="eastAsia" w:ascii="Times New Roman" w:hAnsi="Times New Roman" w:eastAsia="宋体" w:cs="Times New Roman"/>
          <w:spacing w:val="7"/>
          <w:sz w:val="28"/>
          <w:szCs w:val="28"/>
          <w:lang w:val="en-US" w:eastAsia="zh-CN"/>
        </w:rPr>
        <w:t>，</w:t>
      </w:r>
      <w:r>
        <w:rPr>
          <w:rFonts w:ascii="Times New Roman" w:hAnsi="Times New Roman" w:eastAsia="宋体" w:cs="Times New Roman"/>
          <w:spacing w:val="7"/>
          <w:sz w:val="28"/>
          <w:szCs w:val="28"/>
        </w:rPr>
        <w:t>Q2</w:t>
      </w:r>
      <w:r>
        <w:rPr>
          <w:rFonts w:hint="eastAsia" w:ascii="Times New Roman" w:hAnsi="Times New Roman" w:eastAsia="宋体" w:cs="Times New Roman"/>
          <w:spacing w:val="7"/>
          <w:sz w:val="28"/>
          <w:szCs w:val="28"/>
          <w:lang w:val="en-US" w:eastAsia="zh-CN"/>
        </w:rPr>
        <w:t>，</w:t>
      </w:r>
      <w:r>
        <w:rPr>
          <w:rFonts w:ascii="Times New Roman" w:hAnsi="Times New Roman" w:eastAsia="宋体" w:cs="Times New Roman"/>
          <w:spacing w:val="7"/>
          <w:sz w:val="28"/>
          <w:szCs w:val="28"/>
        </w:rPr>
        <w:t>Q3</w:t>
      </w:r>
      <w:r>
        <w:rPr>
          <w:rFonts w:hint="eastAsia" w:ascii="Times New Roman" w:hAnsi="Times New Roman" w:eastAsia="宋体" w:cs="Times New Roman"/>
          <w:spacing w:val="7"/>
          <w:sz w:val="28"/>
          <w:szCs w:val="28"/>
          <w:lang w:val="en-US" w:eastAsia="zh-CN"/>
        </w:rPr>
        <w:t>，</w:t>
      </w:r>
      <w:r>
        <w:rPr>
          <w:rFonts w:ascii="Times New Roman" w:hAnsi="Times New Roman" w:eastAsia="宋体" w:cs="Times New Roman"/>
          <w:spacing w:val="7"/>
          <w:sz w:val="28"/>
          <w:szCs w:val="28"/>
        </w:rPr>
        <w:t>Q4区和中文类重要期刊顶尖和权威、核心级期刊</w:t>
      </w:r>
      <w:r>
        <w:rPr>
          <w:rFonts w:hint="eastAsia" w:ascii="Times New Roman" w:hAnsi="Times New Roman" w:eastAsia="宋体" w:cs="Times New Roman"/>
          <w:spacing w:val="7"/>
          <w:sz w:val="28"/>
          <w:szCs w:val="28"/>
          <w:lang w:eastAsia="zh-CN"/>
        </w:rPr>
        <w:t>，</w:t>
      </w:r>
      <w:r>
        <w:rPr>
          <w:rFonts w:ascii="Times New Roman" w:hAnsi="Times New Roman" w:eastAsia="宋体" w:cs="Times New Roman"/>
          <w:spacing w:val="7"/>
          <w:sz w:val="28"/>
          <w:szCs w:val="28"/>
        </w:rPr>
        <w:t>下同)发表。</w:t>
      </w:r>
    </w:p>
    <w:p w14:paraId="49937B1F">
      <w:pPr>
        <w:ind w:firstLine="588" w:firstLineChars="200"/>
        <w:rPr>
          <w:rFonts w:ascii="Times New Roman" w:hAnsi="Times New Roman" w:eastAsia="宋体" w:cs="Times New Roman"/>
          <w:color w:val="FF0000"/>
          <w:spacing w:val="-3"/>
          <w:sz w:val="28"/>
          <w:szCs w:val="28"/>
        </w:rPr>
      </w:pPr>
      <w:r>
        <w:rPr>
          <w:rFonts w:ascii="Times New Roman" w:hAnsi="Times New Roman" w:eastAsia="宋体" w:cs="Times New Roman"/>
          <w:spacing w:val="7"/>
          <w:sz w:val="28"/>
          <w:szCs w:val="28"/>
        </w:rPr>
        <w:t>须在B级及以上期刊发表论文1篇</w:t>
      </w:r>
      <w:r>
        <w:rPr>
          <w:rFonts w:hint="eastAsia" w:ascii="Times New Roman" w:hAnsi="Times New Roman" w:eastAsia="宋体" w:cs="Times New Roman"/>
          <w:spacing w:val="7"/>
          <w:sz w:val="28"/>
          <w:szCs w:val="28"/>
          <w:lang w:eastAsia="zh-CN"/>
        </w:rPr>
        <w:t>，</w:t>
      </w:r>
      <w:r>
        <w:rPr>
          <w:rFonts w:ascii="Times New Roman" w:hAnsi="Times New Roman" w:eastAsia="宋体" w:cs="Times New Roman"/>
          <w:spacing w:val="7"/>
          <w:sz w:val="28"/>
          <w:szCs w:val="28"/>
        </w:rPr>
        <w:t>或C级期刊发表论文2篇。</w:t>
      </w:r>
    </w:p>
    <w:p w14:paraId="39E73106">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2.以中南大学湘雅三医院为第一完成单位且研究生本人以第一申请人(或导师为第一申请人</w:t>
      </w:r>
      <w:r>
        <w:rPr>
          <w:rFonts w:hint="eastAsia" w:ascii="Times New Roman" w:hAnsi="Times New Roman" w:eastAsia="宋体" w:cs="Times New Roman"/>
          <w:spacing w:val="7"/>
          <w:sz w:val="28"/>
          <w:szCs w:val="28"/>
          <w:lang w:eastAsia="zh-CN"/>
        </w:rPr>
        <w:t>，</w:t>
      </w:r>
      <w:r>
        <w:rPr>
          <w:rFonts w:ascii="Times New Roman" w:hAnsi="Times New Roman" w:eastAsia="宋体" w:cs="Times New Roman"/>
          <w:spacing w:val="7"/>
          <w:sz w:val="28"/>
          <w:szCs w:val="28"/>
        </w:rPr>
        <w:t>研究生为第二申请人)授权国家发明专利1项。</w:t>
      </w:r>
    </w:p>
    <w:p w14:paraId="75508812">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3.获国际、国家级学科竞赛一等奖以上奖励，且排名前三。</w:t>
      </w:r>
    </w:p>
    <w:p w14:paraId="2D811306">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4.获国家自然科学奖、国家技术发明奖和国家科技进步奖、高等学校科学研究优秀成果奖(人文社会科学)或省部级科技奖一等奖，且有证书。</w:t>
      </w:r>
    </w:p>
    <w:p w14:paraId="4BC3AA04">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5.以主要完成人完成著作或专著1部。</w:t>
      </w:r>
    </w:p>
    <w:p w14:paraId="2C5E3751">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6.获得省部级及以上作品(含文学、艺术、美术等作品)创作奖二等奖及以上(个人排名前三)。</w:t>
      </w:r>
    </w:p>
    <w:p w14:paraId="357CEC6D">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7.作为主要成员(个人排名前七)提交的咨询报告(或研究报告)产生重大影响或被省部级行政部门采纳。</w:t>
      </w:r>
    </w:p>
    <w:p w14:paraId="1486EED0">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8.做出特殊贡献，取得突出社会或经济效益。</w:t>
      </w:r>
    </w:p>
    <w:p w14:paraId="1784538B">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（二）硕士研究生</w:t>
      </w:r>
    </w:p>
    <w:p w14:paraId="4A85B4E4">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学年度创新成果须满足以下基本条件之一：</w:t>
      </w:r>
    </w:p>
    <w:p w14:paraId="06796DEA">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1.以中南大学湘雅三医院为第一署名单位，以第一作者或导师为第一作者、研究生为第二作者已发表学术论文的基本要求：</w:t>
      </w:r>
    </w:p>
    <w:p w14:paraId="7B7A70BD">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须在SCI</w:t>
      </w:r>
      <w:r>
        <w:rPr>
          <w:rFonts w:hint="eastAsia" w:ascii="Times New Roman" w:hAnsi="Times New Roman" w:eastAsia="宋体" w:cs="Times New Roman"/>
          <w:spacing w:val="7"/>
          <w:sz w:val="28"/>
          <w:szCs w:val="28"/>
          <w:lang w:eastAsia="zh-CN"/>
        </w:rPr>
        <w:t>，</w:t>
      </w:r>
      <w:r>
        <w:rPr>
          <w:rFonts w:ascii="Times New Roman" w:hAnsi="Times New Roman" w:eastAsia="宋体" w:cs="Times New Roman"/>
          <w:spacing w:val="7"/>
          <w:sz w:val="28"/>
          <w:szCs w:val="28"/>
        </w:rPr>
        <w:t>EI收录期刊或C级及以上期刊发表论文1篇。</w:t>
      </w:r>
    </w:p>
    <w:p w14:paraId="2343EE7C">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2.以中南大学湘雅三医院为第一完成单位且研究生本人以第一申请人(或导师为第一申请人，研究生为第二申请人)授权国家发明专利1项。</w:t>
      </w:r>
    </w:p>
    <w:p w14:paraId="0020CD36">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3.获国际、国家级学科竞赛二等奖以上奖励、且排名前三或省级学科竞赛一等奖，排名第一。</w:t>
      </w:r>
    </w:p>
    <w:p w14:paraId="056D5302">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4.获省部级科技奖二等及以上奖励，排名前八。</w:t>
      </w:r>
    </w:p>
    <w:p w14:paraId="4E1624A8">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5.以参与完成人完成著作或专著1部，或第一完成人</w:t>
      </w:r>
      <w:r>
        <w:rPr>
          <w:rFonts w:hint="eastAsia" w:ascii="Times New Roman" w:hAnsi="Times New Roman" w:eastAsia="宋体" w:cs="Times New Roman"/>
          <w:spacing w:val="7"/>
          <w:sz w:val="28"/>
          <w:szCs w:val="28"/>
          <w:lang w:eastAsia="zh-CN"/>
        </w:rPr>
        <w:t>（</w:t>
      </w:r>
      <w:r>
        <w:rPr>
          <w:rFonts w:ascii="Times New Roman" w:hAnsi="Times New Roman" w:eastAsia="宋体" w:cs="Times New Roman"/>
          <w:spacing w:val="7"/>
          <w:sz w:val="28"/>
          <w:szCs w:val="28"/>
        </w:rPr>
        <w:t>或导师第一，个人排名第二</w:t>
      </w:r>
      <w:r>
        <w:rPr>
          <w:rFonts w:hint="eastAsia" w:ascii="Times New Roman" w:hAnsi="Times New Roman" w:eastAsia="宋体" w:cs="Times New Roman"/>
          <w:spacing w:val="7"/>
          <w:sz w:val="28"/>
          <w:szCs w:val="28"/>
          <w:lang w:eastAsia="zh-CN"/>
        </w:rPr>
        <w:t>）</w:t>
      </w:r>
      <w:r>
        <w:rPr>
          <w:rFonts w:ascii="Times New Roman" w:hAnsi="Times New Roman" w:eastAsia="宋体" w:cs="Times New Roman"/>
          <w:spacing w:val="7"/>
          <w:sz w:val="28"/>
          <w:szCs w:val="28"/>
        </w:rPr>
        <w:t>授权软件著作权1项。</w:t>
      </w:r>
    </w:p>
    <w:p w14:paraId="42891A55">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6.获得省部级以上作品(含文学、艺术、美术等作品)创作奖三等奖以上</w:t>
      </w:r>
      <w:r>
        <w:rPr>
          <w:rFonts w:hint="eastAsia" w:ascii="Times New Roman" w:hAnsi="Times New Roman" w:eastAsia="宋体" w:cs="Times New Roman"/>
          <w:spacing w:val="7"/>
          <w:sz w:val="28"/>
          <w:szCs w:val="28"/>
          <w:lang w:eastAsia="zh-CN"/>
        </w:rPr>
        <w:t>（</w:t>
      </w:r>
      <w:r>
        <w:rPr>
          <w:rFonts w:ascii="Times New Roman" w:hAnsi="Times New Roman" w:eastAsia="宋体" w:cs="Times New Roman"/>
          <w:spacing w:val="7"/>
          <w:sz w:val="28"/>
          <w:szCs w:val="28"/>
        </w:rPr>
        <w:t>个人排名前五</w:t>
      </w:r>
      <w:r>
        <w:rPr>
          <w:rFonts w:hint="eastAsia" w:ascii="Times New Roman" w:hAnsi="Times New Roman" w:eastAsia="宋体" w:cs="Times New Roman"/>
          <w:spacing w:val="7"/>
          <w:sz w:val="28"/>
          <w:szCs w:val="28"/>
          <w:lang w:eastAsia="zh-CN"/>
        </w:rPr>
        <w:t>）</w:t>
      </w:r>
      <w:r>
        <w:rPr>
          <w:rFonts w:ascii="Times New Roman" w:hAnsi="Times New Roman" w:eastAsia="宋体" w:cs="Times New Roman"/>
          <w:spacing w:val="7"/>
          <w:sz w:val="28"/>
          <w:szCs w:val="28"/>
        </w:rPr>
        <w:t>。</w:t>
      </w:r>
    </w:p>
    <w:p w14:paraId="20C405A6">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7.作为主要成员提交的咨询报告</w:t>
      </w:r>
      <w:r>
        <w:rPr>
          <w:rFonts w:hint="eastAsia" w:ascii="Times New Roman" w:hAnsi="Times New Roman" w:eastAsia="宋体" w:cs="Times New Roman"/>
          <w:spacing w:val="7"/>
          <w:sz w:val="28"/>
          <w:szCs w:val="28"/>
          <w:lang w:eastAsia="zh-CN"/>
        </w:rPr>
        <w:t>（</w:t>
      </w:r>
      <w:r>
        <w:rPr>
          <w:rFonts w:ascii="Times New Roman" w:hAnsi="Times New Roman" w:eastAsia="宋体" w:cs="Times New Roman"/>
          <w:spacing w:val="7"/>
          <w:sz w:val="28"/>
          <w:szCs w:val="28"/>
        </w:rPr>
        <w:t>或研究报告</w:t>
      </w:r>
      <w:r>
        <w:rPr>
          <w:rFonts w:hint="eastAsia" w:ascii="Times New Roman" w:hAnsi="Times New Roman" w:eastAsia="宋体" w:cs="Times New Roman"/>
          <w:spacing w:val="7"/>
          <w:sz w:val="28"/>
          <w:szCs w:val="28"/>
          <w:lang w:eastAsia="zh-CN"/>
        </w:rPr>
        <w:t>）</w:t>
      </w:r>
      <w:r>
        <w:rPr>
          <w:rFonts w:ascii="Times New Roman" w:hAnsi="Times New Roman" w:eastAsia="宋体" w:cs="Times New Roman"/>
          <w:spacing w:val="7"/>
          <w:sz w:val="28"/>
          <w:szCs w:val="28"/>
        </w:rPr>
        <w:t>产生重大影响或被省部级行政部门采纳。</w:t>
      </w:r>
    </w:p>
    <w:p w14:paraId="1B1971D2">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8.做出突出贡献，取得一定社会或经济效益。</w:t>
      </w:r>
    </w:p>
    <w:p w14:paraId="3A3047D3">
      <w:pPr>
        <w:ind w:firstLine="594" w:firstLineChars="200"/>
        <w:rPr>
          <w:rFonts w:ascii="Times New Roman" w:hAnsi="Times New Roman" w:eastAsia="宋体" w:cs="Times New Roman"/>
          <w:spacing w:val="7"/>
          <w:sz w:val="28"/>
          <w:szCs w:val="28"/>
        </w:rPr>
      </w:pPr>
      <w:r>
        <w:rPr>
          <w:rFonts w:ascii="Times New Roman" w:hAnsi="Times New Roman" w:eastAsia="宋体" w:cs="Times New Roman"/>
          <w:b/>
          <w:bCs/>
          <w:spacing w:val="8"/>
          <w:sz w:val="28"/>
          <w:szCs w:val="28"/>
        </w:rPr>
        <w:t xml:space="preserve">第七条 </w:t>
      </w:r>
      <w:r>
        <w:rPr>
          <w:rFonts w:ascii="Times New Roman" w:hAnsi="Times New Roman" w:eastAsia="宋体" w:cs="Times New Roman"/>
          <w:spacing w:val="7"/>
          <w:sz w:val="28"/>
          <w:szCs w:val="28"/>
        </w:rPr>
        <w:t xml:space="preserve"> 当某一年级符合一等学业奖学金基本条件人数超过学校下达计划人数时，按照我院同类别学生国家奖学金计分规则进行排名（中文论著及英文Article按100%计算，其他类型文章按30%计算），排名靠后者顺延至二等学业奖学金。</w:t>
      </w:r>
    </w:p>
    <w:p w14:paraId="69404EE1">
      <w:pPr>
        <w:ind w:firstLine="590" w:firstLineChars="200"/>
        <w:rPr>
          <w:rFonts w:ascii="Times New Roman" w:hAnsi="Times New Roman" w:eastAsia="宋体" w:cs="Times New Roman"/>
          <w:spacing w:val="7"/>
          <w:sz w:val="28"/>
          <w:szCs w:val="28"/>
        </w:rPr>
      </w:pPr>
      <w:r>
        <w:rPr>
          <w:rFonts w:ascii="Times New Roman" w:hAnsi="Times New Roman" w:eastAsia="宋体" w:cs="Times New Roman"/>
          <w:b/>
          <w:bCs/>
          <w:spacing w:val="7"/>
          <w:sz w:val="28"/>
          <w:szCs w:val="28"/>
        </w:rPr>
        <w:t>第八条</w:t>
      </w:r>
      <w:r>
        <w:rPr>
          <w:rFonts w:ascii="Times New Roman" w:hAnsi="Times New Roman" w:eastAsia="宋体" w:cs="Times New Roman"/>
          <w:spacing w:val="7"/>
          <w:sz w:val="28"/>
          <w:szCs w:val="28"/>
        </w:rPr>
        <w:t xml:space="preserve">  二等及以下学业奖学金按学年内创新成果、平均绩点及</w:t>
      </w:r>
      <w:r>
        <w:rPr>
          <w:rFonts w:hint="eastAsia" w:ascii="Times New Roman" w:hAnsi="Times New Roman" w:eastAsia="宋体" w:cs="Times New Roman"/>
          <w:spacing w:val="7"/>
          <w:sz w:val="28"/>
          <w:szCs w:val="28"/>
          <w:highlight w:val="none"/>
          <w:lang w:val="en-US" w:eastAsia="zh-CN"/>
        </w:rPr>
        <w:t>综合素质</w:t>
      </w:r>
      <w:r>
        <w:rPr>
          <w:rFonts w:ascii="Times New Roman" w:hAnsi="Times New Roman" w:eastAsia="宋体" w:cs="Times New Roman"/>
          <w:spacing w:val="7"/>
          <w:sz w:val="28"/>
          <w:szCs w:val="28"/>
        </w:rPr>
        <w:t>的优先顺序进行动态综合评定。</w:t>
      </w:r>
      <w:r>
        <w:rPr>
          <w:rFonts w:hint="eastAsia" w:ascii="Times New Roman" w:hAnsi="Times New Roman" w:eastAsia="宋体" w:cs="Times New Roman"/>
          <w:spacing w:val="7"/>
          <w:sz w:val="28"/>
          <w:szCs w:val="28"/>
          <w:highlight w:val="none"/>
          <w:lang w:val="en-US" w:eastAsia="zh-CN"/>
        </w:rPr>
        <w:t>综合素质</w:t>
      </w:r>
      <w:r>
        <w:rPr>
          <w:rFonts w:ascii="Times New Roman" w:hAnsi="Times New Roman" w:eastAsia="宋体" w:cs="Times New Roman"/>
          <w:spacing w:val="7"/>
          <w:sz w:val="28"/>
          <w:szCs w:val="28"/>
        </w:rPr>
        <w:t>加分规则为：</w:t>
      </w:r>
    </w:p>
    <w:p w14:paraId="631EF6C9">
      <w:pPr>
        <w:ind w:firstLine="588" w:firstLineChars="200"/>
        <w:rPr>
          <w:rFonts w:ascii="Times New Roman" w:hAnsi="Times New Roman" w:eastAsia="宋体" w:cs="Times New Roman"/>
          <w:spacing w:val="7"/>
          <w:sz w:val="28"/>
          <w:szCs w:val="28"/>
          <w:highlight w:val="none"/>
        </w:rPr>
      </w:pPr>
      <w:r>
        <w:rPr>
          <w:rFonts w:ascii="Times New Roman" w:hAnsi="Times New Roman" w:eastAsia="宋体" w:cs="Times New Roman"/>
          <w:spacing w:val="7"/>
          <w:sz w:val="28"/>
          <w:szCs w:val="28"/>
          <w:highlight w:val="none"/>
        </w:rPr>
        <w:t>学生干部：年级长、班长</w:t>
      </w:r>
      <w:r>
        <w:rPr>
          <w:rFonts w:hint="eastAsia" w:ascii="Times New Roman" w:hAnsi="Times New Roman" w:eastAsia="宋体" w:cs="Times New Roman"/>
          <w:spacing w:val="7"/>
          <w:sz w:val="28"/>
          <w:szCs w:val="28"/>
          <w:highlight w:val="none"/>
          <w:lang w:eastAsia="zh-CN"/>
        </w:rPr>
        <w:t>、</w:t>
      </w:r>
      <w:r>
        <w:rPr>
          <w:rFonts w:ascii="Times New Roman" w:hAnsi="Times New Roman" w:eastAsia="宋体" w:cs="Times New Roman"/>
          <w:spacing w:val="7"/>
          <w:sz w:val="28"/>
          <w:szCs w:val="28"/>
          <w:highlight w:val="none"/>
        </w:rPr>
        <w:t>学生助理</w:t>
      </w:r>
      <w:r>
        <w:rPr>
          <w:rFonts w:hint="eastAsia" w:ascii="Times New Roman" w:hAnsi="Times New Roman" w:eastAsia="宋体" w:cs="Times New Roman"/>
          <w:spacing w:val="7"/>
          <w:sz w:val="28"/>
          <w:szCs w:val="28"/>
          <w:highlight w:val="none"/>
          <w:lang w:eastAsia="zh-CN"/>
        </w:rPr>
        <w:t>、</w:t>
      </w:r>
      <w:r>
        <w:rPr>
          <w:rFonts w:hint="eastAsia" w:ascii="Times New Roman" w:hAnsi="Times New Roman" w:eastAsia="宋体" w:cs="Times New Roman"/>
          <w:spacing w:val="7"/>
          <w:sz w:val="28"/>
          <w:szCs w:val="28"/>
          <w:highlight w:val="none"/>
          <w:lang w:val="en-US" w:eastAsia="zh-CN"/>
        </w:rPr>
        <w:t>党支部书记及党总支组织委员</w:t>
      </w:r>
      <w:r>
        <w:rPr>
          <w:rFonts w:ascii="Times New Roman" w:hAnsi="Times New Roman" w:eastAsia="宋体" w:cs="Times New Roman"/>
          <w:spacing w:val="7"/>
          <w:sz w:val="28"/>
          <w:szCs w:val="28"/>
          <w:highlight w:val="none"/>
        </w:rPr>
        <w:t>加0.3分；副班长</w:t>
      </w:r>
      <w:r>
        <w:rPr>
          <w:rFonts w:hint="eastAsia" w:ascii="Times New Roman" w:hAnsi="Times New Roman" w:eastAsia="宋体" w:cs="Times New Roman"/>
          <w:spacing w:val="7"/>
          <w:sz w:val="28"/>
          <w:szCs w:val="28"/>
          <w:highlight w:val="none"/>
          <w:lang w:eastAsia="zh-CN"/>
        </w:rPr>
        <w:t>、</w:t>
      </w:r>
      <w:r>
        <w:rPr>
          <w:rFonts w:hint="eastAsia" w:ascii="Times New Roman" w:hAnsi="Times New Roman" w:eastAsia="宋体" w:cs="Times New Roman"/>
          <w:spacing w:val="7"/>
          <w:sz w:val="28"/>
          <w:szCs w:val="28"/>
          <w:highlight w:val="none"/>
          <w:lang w:val="en-US" w:eastAsia="zh-CN"/>
        </w:rPr>
        <w:t>其他支委（</w:t>
      </w:r>
      <w:r>
        <w:rPr>
          <w:rFonts w:ascii="Times New Roman" w:hAnsi="Times New Roman" w:eastAsia="宋体" w:cs="Times New Roman"/>
          <w:spacing w:val="7"/>
          <w:sz w:val="28"/>
          <w:szCs w:val="28"/>
          <w:highlight w:val="none"/>
        </w:rPr>
        <w:t>职务</w:t>
      </w:r>
      <w:r>
        <w:rPr>
          <w:rFonts w:hint="eastAsia" w:ascii="Times New Roman" w:hAnsi="Times New Roman" w:eastAsia="宋体" w:cs="Times New Roman"/>
          <w:spacing w:val="7"/>
          <w:sz w:val="28"/>
          <w:szCs w:val="28"/>
          <w:highlight w:val="none"/>
          <w:lang w:val="en-US" w:eastAsia="zh-CN"/>
        </w:rPr>
        <w:t>）</w:t>
      </w:r>
      <w:r>
        <w:rPr>
          <w:rFonts w:ascii="Times New Roman" w:hAnsi="Times New Roman" w:eastAsia="宋体" w:cs="Times New Roman"/>
          <w:spacing w:val="7"/>
          <w:sz w:val="28"/>
          <w:szCs w:val="28"/>
          <w:highlight w:val="none"/>
        </w:rPr>
        <w:t>加0.2分。如有重复加分项，依据最高得分项加分，不累积；</w:t>
      </w:r>
    </w:p>
    <w:p w14:paraId="35EE702F">
      <w:pPr>
        <w:ind w:firstLine="588" w:firstLineChars="200"/>
        <w:rPr>
          <w:rFonts w:ascii="Times New Roman" w:hAnsi="Times New Roman" w:eastAsia="宋体" w:cs="Times New Roman"/>
          <w:spacing w:val="7"/>
          <w:sz w:val="28"/>
          <w:szCs w:val="28"/>
          <w:highlight w:val="none"/>
        </w:rPr>
      </w:pPr>
      <w:r>
        <w:rPr>
          <w:rFonts w:ascii="Times New Roman" w:hAnsi="Times New Roman" w:eastAsia="宋体" w:cs="Times New Roman"/>
          <w:spacing w:val="7"/>
          <w:sz w:val="28"/>
          <w:szCs w:val="28"/>
          <w:highlight w:val="none"/>
        </w:rPr>
        <w:t>工作中获锦旗，义诊成员、下乡活动立项负责人（需提供照片或证明材料）加0.1分，累计不超过0.3分；</w:t>
      </w:r>
    </w:p>
    <w:p w14:paraId="17529BE2">
      <w:pPr>
        <w:ind w:firstLine="588" w:firstLineChars="200"/>
        <w:rPr>
          <w:rFonts w:ascii="Times New Roman" w:hAnsi="Times New Roman" w:eastAsia="宋体" w:cs="Times New Roman"/>
          <w:spacing w:val="7"/>
          <w:sz w:val="28"/>
          <w:szCs w:val="28"/>
          <w:highlight w:val="none"/>
        </w:rPr>
      </w:pPr>
      <w:r>
        <w:rPr>
          <w:rFonts w:ascii="Times New Roman" w:hAnsi="Times New Roman" w:eastAsia="宋体" w:cs="Times New Roman"/>
          <w:spacing w:val="7"/>
          <w:sz w:val="28"/>
          <w:szCs w:val="28"/>
          <w:highlight w:val="none"/>
        </w:rPr>
        <w:t>各级荣誉（需提供荣誉证书复印件）：院级荣誉加0.1分，校级荣誉加0.2分，</w:t>
      </w:r>
      <w:r>
        <w:rPr>
          <w:rFonts w:hint="eastAsia" w:ascii="Times New Roman" w:hAnsi="Times New Roman" w:eastAsia="宋体" w:cs="Times New Roman"/>
          <w:spacing w:val="7"/>
          <w:sz w:val="28"/>
          <w:szCs w:val="28"/>
          <w:highlight w:val="none"/>
          <w:lang w:val="en-US" w:eastAsia="zh-CN"/>
        </w:rPr>
        <w:t>省级及以上加</w:t>
      </w:r>
      <w:bookmarkStart w:id="0" w:name="_GoBack"/>
      <w:bookmarkEnd w:id="0"/>
      <w:r>
        <w:rPr>
          <w:rFonts w:hint="eastAsia" w:ascii="Times New Roman" w:hAnsi="Times New Roman" w:eastAsia="宋体" w:cs="Times New Roman"/>
          <w:spacing w:val="7"/>
          <w:sz w:val="28"/>
          <w:szCs w:val="28"/>
          <w:highlight w:val="none"/>
          <w:lang w:val="en-US" w:eastAsia="zh-CN"/>
        </w:rPr>
        <w:t>0.3分，</w:t>
      </w:r>
      <w:r>
        <w:rPr>
          <w:rFonts w:ascii="Times New Roman" w:hAnsi="Times New Roman" w:eastAsia="宋体" w:cs="Times New Roman"/>
          <w:spacing w:val="7"/>
          <w:sz w:val="28"/>
          <w:szCs w:val="28"/>
          <w:highlight w:val="none"/>
        </w:rPr>
        <w:t>累计不超过0.3分。</w:t>
      </w:r>
    </w:p>
    <w:p w14:paraId="5732FAA7">
      <w:pPr>
        <w:ind w:firstLine="594" w:firstLineChars="200"/>
        <w:rPr>
          <w:rFonts w:ascii="Times New Roman" w:hAnsi="Times New Roman" w:eastAsia="宋体" w:cs="Times New Roman"/>
          <w:spacing w:val="7"/>
          <w:sz w:val="28"/>
          <w:szCs w:val="28"/>
        </w:rPr>
      </w:pPr>
      <w:r>
        <w:rPr>
          <w:rFonts w:ascii="Times New Roman" w:hAnsi="Times New Roman" w:eastAsia="宋体" w:cs="Times New Roman"/>
          <w:b/>
          <w:bCs/>
          <w:spacing w:val="8"/>
          <w:sz w:val="28"/>
          <w:szCs w:val="28"/>
        </w:rPr>
        <w:t xml:space="preserve">第九条  </w:t>
      </w:r>
      <w:r>
        <w:rPr>
          <w:rFonts w:ascii="Times New Roman" w:hAnsi="Times New Roman" w:eastAsia="宋体" w:cs="Times New Roman"/>
          <w:spacing w:val="7"/>
          <w:sz w:val="28"/>
          <w:szCs w:val="28"/>
        </w:rPr>
        <w:t>因未按期完成学位课程学分或学位课程考试不及格的研究生有下列情况之一的，可酌情考虑研究生学位课程成绩，申请参评研究生学业奖学金：</w:t>
      </w:r>
    </w:p>
    <w:p w14:paraId="59C6B26E">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（一）博士研究生在 Nature</w:t>
      </w:r>
      <w:r>
        <w:rPr>
          <w:rFonts w:hint="eastAsia" w:ascii="Times New Roman" w:hAnsi="Times New Roman" w:eastAsia="宋体" w:cs="Times New Roman"/>
          <w:spacing w:val="7"/>
          <w:sz w:val="28"/>
          <w:szCs w:val="28"/>
          <w:lang w:eastAsia="zh-CN"/>
        </w:rPr>
        <w:t>，</w:t>
      </w:r>
      <w:r>
        <w:rPr>
          <w:rFonts w:ascii="Times New Roman" w:hAnsi="Times New Roman" w:eastAsia="宋体" w:cs="Times New Roman"/>
          <w:spacing w:val="7"/>
          <w:sz w:val="28"/>
          <w:szCs w:val="28"/>
        </w:rPr>
        <w:t>Science</w:t>
      </w:r>
      <w:r>
        <w:rPr>
          <w:rFonts w:hint="eastAsia" w:ascii="Times New Roman" w:hAnsi="Times New Roman" w:eastAsia="宋体" w:cs="Times New Roman"/>
          <w:spacing w:val="7"/>
          <w:sz w:val="28"/>
          <w:szCs w:val="28"/>
          <w:lang w:eastAsia="zh-CN"/>
        </w:rPr>
        <w:t>，</w:t>
      </w:r>
      <w:r>
        <w:rPr>
          <w:rFonts w:ascii="Times New Roman" w:hAnsi="Times New Roman" w:eastAsia="宋体" w:cs="Times New Roman"/>
          <w:spacing w:val="7"/>
          <w:sz w:val="28"/>
          <w:szCs w:val="28"/>
        </w:rPr>
        <w:t>Cell等自然科学期刊，硕士研究生在A级期刊以中南大学湘雅三医院为第一署名单位，以第一作者</w:t>
      </w:r>
      <w:r>
        <w:rPr>
          <w:rFonts w:hint="eastAsia" w:ascii="Times New Roman" w:hAnsi="Times New Roman" w:eastAsia="宋体" w:cs="Times New Roman"/>
          <w:spacing w:val="7"/>
          <w:sz w:val="28"/>
          <w:szCs w:val="28"/>
          <w:lang w:eastAsia="zh-CN"/>
        </w:rPr>
        <w:t>（</w:t>
      </w:r>
      <w:r>
        <w:rPr>
          <w:rFonts w:ascii="Times New Roman" w:hAnsi="Times New Roman" w:eastAsia="宋体" w:cs="Times New Roman"/>
          <w:spacing w:val="7"/>
          <w:sz w:val="28"/>
          <w:szCs w:val="28"/>
        </w:rPr>
        <w:t>或导师第一，本人第二</w:t>
      </w:r>
      <w:r>
        <w:rPr>
          <w:rFonts w:hint="eastAsia" w:ascii="Times New Roman" w:hAnsi="Times New Roman" w:eastAsia="宋体" w:cs="Times New Roman"/>
          <w:spacing w:val="7"/>
          <w:sz w:val="28"/>
          <w:szCs w:val="28"/>
          <w:lang w:eastAsia="zh-CN"/>
        </w:rPr>
        <w:t>）</w:t>
      </w:r>
      <w:r>
        <w:rPr>
          <w:rFonts w:ascii="Times New Roman" w:hAnsi="Times New Roman" w:eastAsia="宋体" w:cs="Times New Roman"/>
          <w:spacing w:val="7"/>
          <w:sz w:val="28"/>
          <w:szCs w:val="28"/>
        </w:rPr>
        <w:t>发表论文1篇，可直接申请一等学业奖学金。</w:t>
      </w:r>
    </w:p>
    <w:p w14:paraId="36B81707">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（二）如符合评定一等学业奖学金创新成果参评条件之一，可申请参评二等或三等学业奖学金。</w:t>
      </w:r>
    </w:p>
    <w:p w14:paraId="4F58450E">
      <w:pPr>
        <w:ind w:firstLine="588" w:firstLineChars="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（三）“高层次人才强军计划”和“少数民族骨干人才计划”全日制研究生可申请参评二等或三等学业奖学金。</w:t>
      </w:r>
    </w:p>
    <w:p w14:paraId="085DF7F1">
      <w:pPr>
        <w:spacing w:before="101" w:line="322" w:lineRule="auto"/>
        <w:ind w:left="3" w:right="70" w:firstLine="655"/>
        <w:rPr>
          <w:rFonts w:asciiTheme="minorEastAsia" w:hAnsiTheme="minorEastAsia" w:cstheme="minorEastAsia"/>
          <w:spacing w:val="7"/>
          <w:sz w:val="28"/>
          <w:szCs w:val="28"/>
        </w:rPr>
      </w:pPr>
    </w:p>
    <w:p w14:paraId="735C6C72">
      <w:pPr>
        <w:spacing w:after="312" w:afterLines="100" w:line="600" w:lineRule="exact"/>
        <w:jc w:val="center"/>
        <w:rPr>
          <w:rStyle w:val="8"/>
          <w:rFonts w:ascii="黑体" w:hAnsi="黑体" w:eastAsia="黑体" w:cstheme="majorEastAsia"/>
          <w:b w:val="0"/>
          <w:bCs w:val="0"/>
          <w:sz w:val="32"/>
          <w:szCs w:val="32"/>
        </w:rPr>
      </w:pPr>
      <w:r>
        <w:rPr>
          <w:rStyle w:val="8"/>
          <w:rFonts w:hint="eastAsia" w:ascii="黑体" w:hAnsi="黑体" w:eastAsia="黑体" w:cstheme="majorEastAsia"/>
          <w:b w:val="0"/>
          <w:bCs w:val="0"/>
          <w:sz w:val="32"/>
          <w:szCs w:val="32"/>
        </w:rPr>
        <w:t>第三章  研究生学业奖学金评定程序</w:t>
      </w:r>
    </w:p>
    <w:p w14:paraId="3BB956C9">
      <w:pPr>
        <w:ind w:firstLine="594" w:firstLineChars="200"/>
        <w:rPr>
          <w:rFonts w:ascii="Times New Roman" w:hAnsi="Times New Roman" w:eastAsia="宋体" w:cs="Times New Roman"/>
          <w:spacing w:val="7"/>
          <w:sz w:val="28"/>
          <w:szCs w:val="28"/>
        </w:rPr>
      </w:pPr>
      <w:r>
        <w:rPr>
          <w:rFonts w:ascii="Times New Roman" w:hAnsi="Times New Roman" w:eastAsia="宋体" w:cs="Times New Roman"/>
          <w:b/>
          <w:bCs/>
          <w:spacing w:val="8"/>
          <w:sz w:val="28"/>
          <w:szCs w:val="28"/>
        </w:rPr>
        <w:t>第十条</w:t>
      </w:r>
      <w:r>
        <w:rPr>
          <w:rFonts w:ascii="Times New Roman" w:hAnsi="Times New Roman" w:eastAsia="宋体" w:cs="Times New Roman"/>
          <w:spacing w:val="6"/>
          <w:sz w:val="28"/>
          <w:szCs w:val="28"/>
        </w:rPr>
        <w:t xml:space="preserve">  </w:t>
      </w:r>
      <w:r>
        <w:rPr>
          <w:rFonts w:ascii="Times New Roman" w:hAnsi="Times New Roman" w:eastAsia="宋体" w:cs="Times New Roman"/>
          <w:spacing w:val="7"/>
          <w:sz w:val="28"/>
          <w:szCs w:val="28"/>
        </w:rPr>
        <w:t>研究生新生</w:t>
      </w:r>
    </w:p>
    <w:p w14:paraId="50434325">
      <w:pPr>
        <w:ind w:firstLine="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一）研究生新生根据研究生考试成绩、复试成绩、思想道德品质、创新能力及学校有关规定，经复试小组和导师考核与推荐，初定研究生新生学业奖学金等级、标准，经审核、网上公示，无异议后报学校研究生招生办公室。</w:t>
      </w:r>
    </w:p>
    <w:p w14:paraId="3F73D262">
      <w:pPr>
        <w:ind w:firstLine="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二）新生入学后，将对研究生人事档案到校情况，研究生工资关系(应届毕业生无工资关系)转入学校情况进行审核，并将档案、工资关系录入研究生教育管理信息系统，经研究生招生办公室审核后，报研究生院。研究生院结合研究生学籍及注册情况，确定并公示研究生新生获学业奖学金等级情况。</w:t>
      </w:r>
    </w:p>
    <w:p w14:paraId="595AE1AD">
      <w:pPr>
        <w:ind w:firstLine="594" w:firstLineChars="200"/>
        <w:rPr>
          <w:rFonts w:ascii="Times New Roman" w:hAnsi="Times New Roman" w:eastAsia="宋体" w:cs="Times New Roman"/>
          <w:spacing w:val="6"/>
          <w:sz w:val="28"/>
          <w:szCs w:val="28"/>
        </w:rPr>
      </w:pPr>
      <w:r>
        <w:rPr>
          <w:rFonts w:ascii="Times New Roman" w:hAnsi="Times New Roman" w:eastAsia="宋体" w:cs="Times New Roman"/>
          <w:b/>
          <w:bCs/>
          <w:spacing w:val="8"/>
          <w:sz w:val="28"/>
          <w:szCs w:val="28"/>
        </w:rPr>
        <w:t>第十一条</w:t>
      </w:r>
      <w:r>
        <w:rPr>
          <w:rFonts w:ascii="Times New Roman" w:hAnsi="Times New Roman" w:eastAsia="宋体" w:cs="Times New Roman"/>
          <w:spacing w:val="6"/>
          <w:sz w:val="28"/>
          <w:szCs w:val="28"/>
        </w:rPr>
        <w:t xml:space="preserve">  </w:t>
      </w:r>
      <w:r>
        <w:rPr>
          <w:rFonts w:ascii="Times New Roman" w:hAnsi="Times New Roman" w:eastAsia="宋体" w:cs="Times New Roman"/>
          <w:kern w:val="0"/>
          <w:sz w:val="28"/>
          <w:szCs w:val="28"/>
        </w:rPr>
        <w:t>高年级研究生</w:t>
      </w:r>
    </w:p>
    <w:p w14:paraId="0E908F27">
      <w:pPr>
        <w:ind w:firstLine="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（一）符合条件的学生在规定的期限内，向班长提出申请，经班长、研究生会干部初审后，将申请学生名单及推荐材料报研究生部；</w:t>
      </w:r>
    </w:p>
    <w:p w14:paraId="5AD094D2">
      <w:pPr>
        <w:ind w:firstLine="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（二）研究生学业奖学金每学年进行动态评定，在学校分配指标范围内，按本实施细则进行评定。</w:t>
      </w:r>
    </w:p>
    <w:p w14:paraId="0EEA2B56">
      <w:pPr>
        <w:ind w:firstLine="200"/>
        <w:rPr>
          <w:rFonts w:ascii="Times New Roman" w:hAnsi="Times New Roman" w:eastAsia="宋体" w:cs="Times New Roman"/>
          <w:spacing w:val="7"/>
          <w:sz w:val="28"/>
          <w:szCs w:val="28"/>
        </w:rPr>
      </w:pPr>
    </w:p>
    <w:p w14:paraId="488D3D10">
      <w:pPr>
        <w:ind w:firstLine="200"/>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本实施细则未尽事宜以中南大学通知及文件精神为准。</w:t>
      </w:r>
    </w:p>
    <w:p w14:paraId="6D6C58D7">
      <w:pPr>
        <w:spacing w:before="101" w:line="322" w:lineRule="auto"/>
        <w:ind w:left="3" w:right="70" w:firstLine="655"/>
        <w:rPr>
          <w:rFonts w:asciiTheme="minorEastAsia" w:hAnsiTheme="minorEastAsia" w:cstheme="minorEastAsia"/>
          <w:spacing w:val="7"/>
          <w:sz w:val="28"/>
          <w:szCs w:val="28"/>
        </w:rPr>
      </w:pPr>
    </w:p>
    <w:p w14:paraId="70991BA0">
      <w:pPr>
        <w:spacing w:line="360" w:lineRule="auto"/>
        <w:jc w:val="right"/>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中南大学湘雅三医院研究生部</w:t>
      </w:r>
    </w:p>
    <w:p w14:paraId="3CC5BC24">
      <w:pPr>
        <w:spacing w:line="360" w:lineRule="auto"/>
        <w:jc w:val="right"/>
        <w:rPr>
          <w:rFonts w:ascii="Times New Roman" w:hAnsi="Times New Roman" w:eastAsia="宋体" w:cs="Times New Roman"/>
          <w:spacing w:val="7"/>
          <w:sz w:val="28"/>
          <w:szCs w:val="28"/>
        </w:rPr>
      </w:pPr>
      <w:r>
        <w:rPr>
          <w:rFonts w:ascii="Times New Roman" w:hAnsi="Times New Roman" w:eastAsia="宋体" w:cs="Times New Roman"/>
          <w:spacing w:val="7"/>
          <w:sz w:val="28"/>
          <w:szCs w:val="28"/>
        </w:rPr>
        <w:t>202</w:t>
      </w:r>
      <w:r>
        <w:rPr>
          <w:rFonts w:hint="eastAsia" w:ascii="Times New Roman" w:hAnsi="Times New Roman" w:eastAsia="宋体" w:cs="Times New Roman"/>
          <w:spacing w:val="7"/>
          <w:sz w:val="28"/>
          <w:szCs w:val="28"/>
          <w:lang w:val="en-US" w:eastAsia="zh-CN"/>
        </w:rPr>
        <w:t>5</w:t>
      </w:r>
      <w:r>
        <w:rPr>
          <w:rFonts w:ascii="Times New Roman" w:hAnsi="Times New Roman" w:eastAsia="宋体" w:cs="Times New Roman"/>
          <w:spacing w:val="7"/>
          <w:sz w:val="28"/>
          <w:szCs w:val="28"/>
        </w:rPr>
        <w:t>年9月</w:t>
      </w:r>
      <w:r>
        <w:rPr>
          <w:rFonts w:hint="eastAsia" w:ascii="Times New Roman" w:hAnsi="Times New Roman" w:eastAsia="宋体" w:cs="Times New Roman"/>
          <w:spacing w:val="7"/>
          <w:sz w:val="28"/>
          <w:szCs w:val="28"/>
          <w:lang w:val="en-US" w:eastAsia="zh-CN"/>
        </w:rPr>
        <w:t>17</w:t>
      </w:r>
      <w:r>
        <w:rPr>
          <w:rFonts w:ascii="Times New Roman" w:hAnsi="Times New Roman" w:eastAsia="宋体" w:cs="Times New Roman"/>
          <w:spacing w:val="7"/>
          <w:sz w:val="28"/>
          <w:szCs w:val="28"/>
        </w:rPr>
        <w:t>日</w:t>
      </w:r>
    </w:p>
    <w:p w14:paraId="08CF8407">
      <w:pPr>
        <w:spacing w:before="6" w:line="325" w:lineRule="auto"/>
        <w:ind w:right="57" w:firstLine="613"/>
        <w:rPr>
          <w:rFonts w:asciiTheme="minorEastAsia" w:hAnsiTheme="minorEastAsia" w:cstheme="minorEastAsia"/>
          <w:spacing w:val="2"/>
          <w:sz w:val="28"/>
          <w:szCs w:val="28"/>
        </w:rPr>
      </w:pPr>
    </w:p>
    <w:p w14:paraId="1C08B6F2">
      <w:pPr>
        <w:spacing w:before="2" w:line="330" w:lineRule="auto"/>
        <w:ind w:left="7" w:right="12" w:firstLine="634"/>
        <w:rPr>
          <w:rFonts w:asciiTheme="minorEastAsia" w:hAnsiTheme="minorEastAsia" w:cstheme="minorEastAsia"/>
          <w:spacing w:val="9"/>
          <w:sz w:val="28"/>
          <w:szCs w:val="28"/>
        </w:rPr>
      </w:pPr>
    </w:p>
    <w:p w14:paraId="155F1073">
      <w:pPr>
        <w:spacing w:before="1" w:line="221" w:lineRule="auto"/>
        <w:ind w:left="655"/>
        <w:rPr>
          <w:rFonts w:ascii="仿宋" w:hAnsi="仿宋" w:eastAsia="仿宋" w:cs="仿宋"/>
          <w:spacing w:val="7"/>
          <w:sz w:val="31"/>
          <w:szCs w:val="31"/>
        </w:rPr>
      </w:pPr>
    </w:p>
    <w:p w14:paraId="7B06B788">
      <w:pPr>
        <w:pStyle w:val="2"/>
        <w:spacing w:line="316" w:lineRule="auto"/>
        <w:ind w:left="19" w:right="275" w:hanging="19" w:hangingChars="9"/>
        <w:rPr>
          <w:rFonts w:ascii="黑体" w:hAnsi="黑体" w:eastAsia="黑体" w:cs="黑体"/>
          <w:spacing w:val="1"/>
          <w:sz w:val="21"/>
          <w:szCs w:val="21"/>
          <w:lang w:val="en-US"/>
        </w:rPr>
      </w:pPr>
    </w:p>
    <w:p w14:paraId="4BBBDF9B">
      <w:pPr>
        <w:jc w:val="right"/>
        <w:rPr>
          <w:rFonts w:ascii="宋体" w:hAnsi="宋体" w:eastAsia="宋体" w:cs="宋体"/>
          <w:spacing w:val="1"/>
          <w:szCs w:val="21"/>
          <w:lang w:bidi="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72A4">
    <w:pPr>
      <w:spacing w:line="192" w:lineRule="auto"/>
      <w:ind w:right="49"/>
      <w:jc w:val="right"/>
      <w:rPr>
        <w:rFonts w:ascii="宋体" w:hAnsi="宋体" w:eastAsia="宋体" w:cs="宋体"/>
        <w:sz w:val="23"/>
        <w:szCs w:val="23"/>
      </w:rPr>
    </w:pPr>
    <w:r>
      <w:rPr>
        <w:sz w:val="2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F182B">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AAF182B">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ZDRmNTk0M2EwYjVmMDY5NjFkYmY4YjhiYTg2MWMifQ=="/>
  </w:docVars>
  <w:rsids>
    <w:rsidRoot w:val="3EAC3F73"/>
    <w:rsid w:val="000A002F"/>
    <w:rsid w:val="0042159B"/>
    <w:rsid w:val="00847DE1"/>
    <w:rsid w:val="00886A13"/>
    <w:rsid w:val="009E700A"/>
    <w:rsid w:val="00A87F74"/>
    <w:rsid w:val="00D074CA"/>
    <w:rsid w:val="00E413FC"/>
    <w:rsid w:val="00EB1C0E"/>
    <w:rsid w:val="01514167"/>
    <w:rsid w:val="01515BCD"/>
    <w:rsid w:val="015C48BA"/>
    <w:rsid w:val="017B2F92"/>
    <w:rsid w:val="017E2A82"/>
    <w:rsid w:val="01A87AFF"/>
    <w:rsid w:val="01BC123E"/>
    <w:rsid w:val="01FD609D"/>
    <w:rsid w:val="023C3E8A"/>
    <w:rsid w:val="026E0D49"/>
    <w:rsid w:val="028D5673"/>
    <w:rsid w:val="028D7421"/>
    <w:rsid w:val="029C1412"/>
    <w:rsid w:val="02D45050"/>
    <w:rsid w:val="02E21D06"/>
    <w:rsid w:val="03013380"/>
    <w:rsid w:val="032D29B2"/>
    <w:rsid w:val="03766107"/>
    <w:rsid w:val="0385459C"/>
    <w:rsid w:val="038C76D9"/>
    <w:rsid w:val="038D3451"/>
    <w:rsid w:val="03A5613C"/>
    <w:rsid w:val="03B804CE"/>
    <w:rsid w:val="03D42E2E"/>
    <w:rsid w:val="041651F4"/>
    <w:rsid w:val="042B5143"/>
    <w:rsid w:val="04310280"/>
    <w:rsid w:val="043D4E77"/>
    <w:rsid w:val="044E0E32"/>
    <w:rsid w:val="045B52FD"/>
    <w:rsid w:val="0518248F"/>
    <w:rsid w:val="05184F9C"/>
    <w:rsid w:val="052A53FB"/>
    <w:rsid w:val="05D2339D"/>
    <w:rsid w:val="05EC26E3"/>
    <w:rsid w:val="05ED01D7"/>
    <w:rsid w:val="0600615C"/>
    <w:rsid w:val="065C7E27"/>
    <w:rsid w:val="06D27AF8"/>
    <w:rsid w:val="06D80E87"/>
    <w:rsid w:val="06FA2BAB"/>
    <w:rsid w:val="06FF4665"/>
    <w:rsid w:val="071A149F"/>
    <w:rsid w:val="079C6989"/>
    <w:rsid w:val="07AD40C1"/>
    <w:rsid w:val="07C00BA1"/>
    <w:rsid w:val="08091DCA"/>
    <w:rsid w:val="08171B71"/>
    <w:rsid w:val="082907E6"/>
    <w:rsid w:val="082F4AD6"/>
    <w:rsid w:val="08326375"/>
    <w:rsid w:val="08422A5C"/>
    <w:rsid w:val="08BA6A96"/>
    <w:rsid w:val="093559C8"/>
    <w:rsid w:val="09414AC1"/>
    <w:rsid w:val="0947201A"/>
    <w:rsid w:val="09864BCA"/>
    <w:rsid w:val="09BE6112"/>
    <w:rsid w:val="0A0D36A8"/>
    <w:rsid w:val="0A256191"/>
    <w:rsid w:val="0A2D185F"/>
    <w:rsid w:val="0A6E5D8A"/>
    <w:rsid w:val="0A801619"/>
    <w:rsid w:val="0A84735B"/>
    <w:rsid w:val="0AC37758"/>
    <w:rsid w:val="0AC736EC"/>
    <w:rsid w:val="0ACC65E8"/>
    <w:rsid w:val="0ADF27E4"/>
    <w:rsid w:val="0B116715"/>
    <w:rsid w:val="0B156206"/>
    <w:rsid w:val="0B4B7E79"/>
    <w:rsid w:val="0B540B6B"/>
    <w:rsid w:val="0B642CE9"/>
    <w:rsid w:val="0B9C2483"/>
    <w:rsid w:val="0BC96FF0"/>
    <w:rsid w:val="0C083FBC"/>
    <w:rsid w:val="0C152C22"/>
    <w:rsid w:val="0C193AD3"/>
    <w:rsid w:val="0C3E79DE"/>
    <w:rsid w:val="0C4B5C57"/>
    <w:rsid w:val="0C5B1361"/>
    <w:rsid w:val="0C6C454B"/>
    <w:rsid w:val="0C923886"/>
    <w:rsid w:val="0CC50DFF"/>
    <w:rsid w:val="0CC53C5B"/>
    <w:rsid w:val="0CCE2B10"/>
    <w:rsid w:val="0CD12600"/>
    <w:rsid w:val="0CF01759"/>
    <w:rsid w:val="0D3C216F"/>
    <w:rsid w:val="0D49663A"/>
    <w:rsid w:val="0D5D6764"/>
    <w:rsid w:val="0D894C89"/>
    <w:rsid w:val="0DDC183D"/>
    <w:rsid w:val="0E057218"/>
    <w:rsid w:val="0E3015A8"/>
    <w:rsid w:val="0E6B088A"/>
    <w:rsid w:val="0E71409B"/>
    <w:rsid w:val="0E8813E4"/>
    <w:rsid w:val="0EAA135B"/>
    <w:rsid w:val="0EAF0FCC"/>
    <w:rsid w:val="0EC046DA"/>
    <w:rsid w:val="0EEF3211"/>
    <w:rsid w:val="0F543075"/>
    <w:rsid w:val="0F5A4B2F"/>
    <w:rsid w:val="0F621C35"/>
    <w:rsid w:val="0FCE72CB"/>
    <w:rsid w:val="0FE078C9"/>
    <w:rsid w:val="10642BAD"/>
    <w:rsid w:val="10D601E5"/>
    <w:rsid w:val="10EA3C90"/>
    <w:rsid w:val="1106559D"/>
    <w:rsid w:val="110F1949"/>
    <w:rsid w:val="11382C4E"/>
    <w:rsid w:val="119B0832"/>
    <w:rsid w:val="11B81FE1"/>
    <w:rsid w:val="11CE0463"/>
    <w:rsid w:val="11D72467"/>
    <w:rsid w:val="11DC7A7D"/>
    <w:rsid w:val="12154D3D"/>
    <w:rsid w:val="122356AC"/>
    <w:rsid w:val="12374CB3"/>
    <w:rsid w:val="12386C7D"/>
    <w:rsid w:val="1279351E"/>
    <w:rsid w:val="136A10B9"/>
    <w:rsid w:val="137141F5"/>
    <w:rsid w:val="139B74C4"/>
    <w:rsid w:val="13D6674E"/>
    <w:rsid w:val="140C6454"/>
    <w:rsid w:val="141A488D"/>
    <w:rsid w:val="144131AC"/>
    <w:rsid w:val="144162BD"/>
    <w:rsid w:val="14496F20"/>
    <w:rsid w:val="14531B4D"/>
    <w:rsid w:val="147321EF"/>
    <w:rsid w:val="14832432"/>
    <w:rsid w:val="149D169C"/>
    <w:rsid w:val="14A235C8"/>
    <w:rsid w:val="14A33DD8"/>
    <w:rsid w:val="14C52A4A"/>
    <w:rsid w:val="14E76E65"/>
    <w:rsid w:val="15354147"/>
    <w:rsid w:val="15915022"/>
    <w:rsid w:val="15A5504C"/>
    <w:rsid w:val="15D078F9"/>
    <w:rsid w:val="15EC4007"/>
    <w:rsid w:val="15F1161D"/>
    <w:rsid w:val="15F1786F"/>
    <w:rsid w:val="160457F4"/>
    <w:rsid w:val="1606156C"/>
    <w:rsid w:val="16087F4C"/>
    <w:rsid w:val="161D2412"/>
    <w:rsid w:val="161D68B6"/>
    <w:rsid w:val="16287735"/>
    <w:rsid w:val="1642631D"/>
    <w:rsid w:val="16551BAC"/>
    <w:rsid w:val="166B5873"/>
    <w:rsid w:val="16DF15B9"/>
    <w:rsid w:val="16E01DBD"/>
    <w:rsid w:val="17426C2F"/>
    <w:rsid w:val="17516817"/>
    <w:rsid w:val="17B44FF8"/>
    <w:rsid w:val="17D3547E"/>
    <w:rsid w:val="17E20C6F"/>
    <w:rsid w:val="17F453F5"/>
    <w:rsid w:val="180E74D8"/>
    <w:rsid w:val="186E2958"/>
    <w:rsid w:val="188D1AD1"/>
    <w:rsid w:val="18A64941"/>
    <w:rsid w:val="193A0F26"/>
    <w:rsid w:val="199E7D0E"/>
    <w:rsid w:val="19B17A41"/>
    <w:rsid w:val="19B80DD0"/>
    <w:rsid w:val="19C808E7"/>
    <w:rsid w:val="1A2C70C8"/>
    <w:rsid w:val="1A3441CE"/>
    <w:rsid w:val="1A400DC5"/>
    <w:rsid w:val="1A444411"/>
    <w:rsid w:val="1ABD41C4"/>
    <w:rsid w:val="1ABE27D0"/>
    <w:rsid w:val="1AE6371B"/>
    <w:rsid w:val="1AF02488"/>
    <w:rsid w:val="1B091C9D"/>
    <w:rsid w:val="1B0B3181"/>
    <w:rsid w:val="1B154000"/>
    <w:rsid w:val="1B5B5EB7"/>
    <w:rsid w:val="1B7B021B"/>
    <w:rsid w:val="1BC05D1A"/>
    <w:rsid w:val="1BF6798D"/>
    <w:rsid w:val="1BF70CD0"/>
    <w:rsid w:val="1BFD6F6E"/>
    <w:rsid w:val="1C314E69"/>
    <w:rsid w:val="1C31752A"/>
    <w:rsid w:val="1C4E1577"/>
    <w:rsid w:val="1C5B3C94"/>
    <w:rsid w:val="1C6A3ED7"/>
    <w:rsid w:val="1C6B037B"/>
    <w:rsid w:val="1C705992"/>
    <w:rsid w:val="1C7D5C59"/>
    <w:rsid w:val="1CD7615D"/>
    <w:rsid w:val="1D266050"/>
    <w:rsid w:val="1D2B7B0B"/>
    <w:rsid w:val="1D3544E5"/>
    <w:rsid w:val="1D70551D"/>
    <w:rsid w:val="1D7067B3"/>
    <w:rsid w:val="1DA60C00"/>
    <w:rsid w:val="1DD94479"/>
    <w:rsid w:val="1DDC7057"/>
    <w:rsid w:val="1E48649A"/>
    <w:rsid w:val="1E4E3AB1"/>
    <w:rsid w:val="1EA00084"/>
    <w:rsid w:val="1EB31B66"/>
    <w:rsid w:val="1EE47F71"/>
    <w:rsid w:val="1EEE7042"/>
    <w:rsid w:val="1F234F3D"/>
    <w:rsid w:val="1F3C7DAD"/>
    <w:rsid w:val="1F8654CC"/>
    <w:rsid w:val="1F8D3F1B"/>
    <w:rsid w:val="1FA53C4D"/>
    <w:rsid w:val="1FAB1BB6"/>
    <w:rsid w:val="1FE521F3"/>
    <w:rsid w:val="1FF95C9E"/>
    <w:rsid w:val="200308CB"/>
    <w:rsid w:val="20044F42"/>
    <w:rsid w:val="203942EC"/>
    <w:rsid w:val="2040567B"/>
    <w:rsid w:val="208C549D"/>
    <w:rsid w:val="20C04A0E"/>
    <w:rsid w:val="20C77B4A"/>
    <w:rsid w:val="21091F11"/>
    <w:rsid w:val="211014F1"/>
    <w:rsid w:val="21174FAA"/>
    <w:rsid w:val="21246D4B"/>
    <w:rsid w:val="21392D29"/>
    <w:rsid w:val="214116AB"/>
    <w:rsid w:val="21635AC5"/>
    <w:rsid w:val="21824B86"/>
    <w:rsid w:val="219B4202"/>
    <w:rsid w:val="21A165ED"/>
    <w:rsid w:val="222B5EB7"/>
    <w:rsid w:val="223B259E"/>
    <w:rsid w:val="22463C07"/>
    <w:rsid w:val="22812EA5"/>
    <w:rsid w:val="22A2261D"/>
    <w:rsid w:val="22CC58EC"/>
    <w:rsid w:val="23104E44"/>
    <w:rsid w:val="23384D2F"/>
    <w:rsid w:val="23386402"/>
    <w:rsid w:val="23502079"/>
    <w:rsid w:val="237A5348"/>
    <w:rsid w:val="23B5012E"/>
    <w:rsid w:val="23D80D20"/>
    <w:rsid w:val="24084702"/>
    <w:rsid w:val="243A6885"/>
    <w:rsid w:val="244F40DF"/>
    <w:rsid w:val="2459649D"/>
    <w:rsid w:val="246C2EE2"/>
    <w:rsid w:val="24BA695B"/>
    <w:rsid w:val="2500362B"/>
    <w:rsid w:val="25494FD2"/>
    <w:rsid w:val="25626093"/>
    <w:rsid w:val="257C6396"/>
    <w:rsid w:val="25BC1C48"/>
    <w:rsid w:val="25F50CB6"/>
    <w:rsid w:val="25F85DA9"/>
    <w:rsid w:val="25FA451E"/>
    <w:rsid w:val="26555BF8"/>
    <w:rsid w:val="265754CC"/>
    <w:rsid w:val="267E76A0"/>
    <w:rsid w:val="26DA496D"/>
    <w:rsid w:val="26E72B21"/>
    <w:rsid w:val="270F7B55"/>
    <w:rsid w:val="272730F1"/>
    <w:rsid w:val="273677D8"/>
    <w:rsid w:val="27565784"/>
    <w:rsid w:val="276C223E"/>
    <w:rsid w:val="279062C8"/>
    <w:rsid w:val="27952750"/>
    <w:rsid w:val="27B8643F"/>
    <w:rsid w:val="27C748D4"/>
    <w:rsid w:val="27E62FAC"/>
    <w:rsid w:val="28284C85"/>
    <w:rsid w:val="28463A4A"/>
    <w:rsid w:val="286B52E0"/>
    <w:rsid w:val="2890116A"/>
    <w:rsid w:val="28C72DDD"/>
    <w:rsid w:val="28E722D9"/>
    <w:rsid w:val="29270BDD"/>
    <w:rsid w:val="2939710B"/>
    <w:rsid w:val="2940493E"/>
    <w:rsid w:val="29565F0F"/>
    <w:rsid w:val="29581C87"/>
    <w:rsid w:val="295D54F0"/>
    <w:rsid w:val="29606D8E"/>
    <w:rsid w:val="297D16EE"/>
    <w:rsid w:val="29A053DC"/>
    <w:rsid w:val="29B63ACC"/>
    <w:rsid w:val="2A1B4A63"/>
    <w:rsid w:val="2A2E29E8"/>
    <w:rsid w:val="2A5E151F"/>
    <w:rsid w:val="2A7725E1"/>
    <w:rsid w:val="2A7A79DB"/>
    <w:rsid w:val="2A811470"/>
    <w:rsid w:val="2AE01F34"/>
    <w:rsid w:val="2AE82B97"/>
    <w:rsid w:val="2AED63FF"/>
    <w:rsid w:val="2B1971F4"/>
    <w:rsid w:val="2B231E21"/>
    <w:rsid w:val="2B7F799F"/>
    <w:rsid w:val="2B824D9A"/>
    <w:rsid w:val="2B830B12"/>
    <w:rsid w:val="2BC234BC"/>
    <w:rsid w:val="2BEB6DE3"/>
    <w:rsid w:val="2C1874AC"/>
    <w:rsid w:val="2C3D0689"/>
    <w:rsid w:val="2C5964B0"/>
    <w:rsid w:val="2C6E17C2"/>
    <w:rsid w:val="2CB573F1"/>
    <w:rsid w:val="2CCA2E9C"/>
    <w:rsid w:val="2CDE06F5"/>
    <w:rsid w:val="2D376058"/>
    <w:rsid w:val="2D7B7CF2"/>
    <w:rsid w:val="2D8769F2"/>
    <w:rsid w:val="2DA76D39"/>
    <w:rsid w:val="2DAA0901"/>
    <w:rsid w:val="2DAA0BD9"/>
    <w:rsid w:val="2DB61E34"/>
    <w:rsid w:val="2DE51610"/>
    <w:rsid w:val="2DF7019E"/>
    <w:rsid w:val="2E017189"/>
    <w:rsid w:val="2E2745A1"/>
    <w:rsid w:val="2E4E5407"/>
    <w:rsid w:val="2E7806D6"/>
    <w:rsid w:val="2E7B2419"/>
    <w:rsid w:val="2EA94D33"/>
    <w:rsid w:val="2EB21E3A"/>
    <w:rsid w:val="2F0C40F7"/>
    <w:rsid w:val="2F1E74CF"/>
    <w:rsid w:val="2F206D97"/>
    <w:rsid w:val="2F3C1703"/>
    <w:rsid w:val="2F503401"/>
    <w:rsid w:val="2FA9730B"/>
    <w:rsid w:val="2FAB0637"/>
    <w:rsid w:val="2FEE5271"/>
    <w:rsid w:val="30030473"/>
    <w:rsid w:val="3014442E"/>
    <w:rsid w:val="303D5733"/>
    <w:rsid w:val="305B3F87"/>
    <w:rsid w:val="306330F6"/>
    <w:rsid w:val="30E43E01"/>
    <w:rsid w:val="310B684E"/>
    <w:rsid w:val="31413001"/>
    <w:rsid w:val="317D3B29"/>
    <w:rsid w:val="31A40B02"/>
    <w:rsid w:val="31C83722"/>
    <w:rsid w:val="31F84007"/>
    <w:rsid w:val="31FE5396"/>
    <w:rsid w:val="32036508"/>
    <w:rsid w:val="322748ED"/>
    <w:rsid w:val="32335040"/>
    <w:rsid w:val="326276D3"/>
    <w:rsid w:val="32873F44"/>
    <w:rsid w:val="32BB5035"/>
    <w:rsid w:val="32D176D9"/>
    <w:rsid w:val="331D7A9E"/>
    <w:rsid w:val="332F2B44"/>
    <w:rsid w:val="33572FB0"/>
    <w:rsid w:val="335B40BD"/>
    <w:rsid w:val="33885934"/>
    <w:rsid w:val="33A855B9"/>
    <w:rsid w:val="33D12D62"/>
    <w:rsid w:val="33D441E2"/>
    <w:rsid w:val="33EC194A"/>
    <w:rsid w:val="342F5CDB"/>
    <w:rsid w:val="343B467F"/>
    <w:rsid w:val="343C3F54"/>
    <w:rsid w:val="344838C6"/>
    <w:rsid w:val="346779E9"/>
    <w:rsid w:val="347831DE"/>
    <w:rsid w:val="348E47AF"/>
    <w:rsid w:val="349124F1"/>
    <w:rsid w:val="34A51AF9"/>
    <w:rsid w:val="34D66716"/>
    <w:rsid w:val="34FD1935"/>
    <w:rsid w:val="351C000D"/>
    <w:rsid w:val="352D221A"/>
    <w:rsid w:val="353F5336"/>
    <w:rsid w:val="355377A7"/>
    <w:rsid w:val="35AF0E81"/>
    <w:rsid w:val="363E0457"/>
    <w:rsid w:val="369E2CA4"/>
    <w:rsid w:val="36B9188B"/>
    <w:rsid w:val="36C123A4"/>
    <w:rsid w:val="36D6068F"/>
    <w:rsid w:val="36E92171"/>
    <w:rsid w:val="36FF0751"/>
    <w:rsid w:val="370C2303"/>
    <w:rsid w:val="370F76FD"/>
    <w:rsid w:val="372907BF"/>
    <w:rsid w:val="372E5DD5"/>
    <w:rsid w:val="37325CC3"/>
    <w:rsid w:val="376E7E98"/>
    <w:rsid w:val="378D6FA0"/>
    <w:rsid w:val="37A147F9"/>
    <w:rsid w:val="37CD3840"/>
    <w:rsid w:val="37D746BF"/>
    <w:rsid w:val="3825367C"/>
    <w:rsid w:val="389E359A"/>
    <w:rsid w:val="38A8605B"/>
    <w:rsid w:val="38AD1F2D"/>
    <w:rsid w:val="38DE0A0E"/>
    <w:rsid w:val="391B04B1"/>
    <w:rsid w:val="396E2E01"/>
    <w:rsid w:val="39736669"/>
    <w:rsid w:val="39D4535A"/>
    <w:rsid w:val="39E37D79"/>
    <w:rsid w:val="3A137505"/>
    <w:rsid w:val="3A615E42"/>
    <w:rsid w:val="3A804B9A"/>
    <w:rsid w:val="3A906AB8"/>
    <w:rsid w:val="3AA30888"/>
    <w:rsid w:val="3AD35612"/>
    <w:rsid w:val="3B3D370A"/>
    <w:rsid w:val="3B4A1BD1"/>
    <w:rsid w:val="3B8763FC"/>
    <w:rsid w:val="3B936B4F"/>
    <w:rsid w:val="3BC82C9D"/>
    <w:rsid w:val="3C0E61D6"/>
    <w:rsid w:val="3C17152E"/>
    <w:rsid w:val="3C1E28BD"/>
    <w:rsid w:val="3C2F6F92"/>
    <w:rsid w:val="3C3420E0"/>
    <w:rsid w:val="3C642299"/>
    <w:rsid w:val="3C7401D6"/>
    <w:rsid w:val="3D015D3A"/>
    <w:rsid w:val="3D193084"/>
    <w:rsid w:val="3D1D0DC6"/>
    <w:rsid w:val="3D2A5291"/>
    <w:rsid w:val="3D8B21D4"/>
    <w:rsid w:val="3D960B78"/>
    <w:rsid w:val="3DA2751D"/>
    <w:rsid w:val="3DA43295"/>
    <w:rsid w:val="3DCC00F6"/>
    <w:rsid w:val="3DDA0A65"/>
    <w:rsid w:val="3DEE4511"/>
    <w:rsid w:val="3E0A2C86"/>
    <w:rsid w:val="3E1E032D"/>
    <w:rsid w:val="3E247F32"/>
    <w:rsid w:val="3E6622F9"/>
    <w:rsid w:val="3E7859BA"/>
    <w:rsid w:val="3EAC3F73"/>
    <w:rsid w:val="3F277CDA"/>
    <w:rsid w:val="3F4E170B"/>
    <w:rsid w:val="3F9F3D14"/>
    <w:rsid w:val="3FC512A1"/>
    <w:rsid w:val="3FCB2D5B"/>
    <w:rsid w:val="403D6ED4"/>
    <w:rsid w:val="40624D42"/>
    <w:rsid w:val="406A0414"/>
    <w:rsid w:val="408E3D89"/>
    <w:rsid w:val="409273D5"/>
    <w:rsid w:val="409F7D44"/>
    <w:rsid w:val="40E13EB9"/>
    <w:rsid w:val="40E57E4D"/>
    <w:rsid w:val="40EF2A79"/>
    <w:rsid w:val="41344930"/>
    <w:rsid w:val="41653C86"/>
    <w:rsid w:val="4182744A"/>
    <w:rsid w:val="418C466E"/>
    <w:rsid w:val="41913B31"/>
    <w:rsid w:val="419B04D7"/>
    <w:rsid w:val="41BD66D4"/>
    <w:rsid w:val="41C34C91"/>
    <w:rsid w:val="41EF52A2"/>
    <w:rsid w:val="421B164C"/>
    <w:rsid w:val="422B5D33"/>
    <w:rsid w:val="425132C0"/>
    <w:rsid w:val="425608D6"/>
    <w:rsid w:val="426B4382"/>
    <w:rsid w:val="428B3BBD"/>
    <w:rsid w:val="42A81132"/>
    <w:rsid w:val="42AD499A"/>
    <w:rsid w:val="42B11DCD"/>
    <w:rsid w:val="42CD0B98"/>
    <w:rsid w:val="430B16C1"/>
    <w:rsid w:val="43140575"/>
    <w:rsid w:val="431854A6"/>
    <w:rsid w:val="43650DD1"/>
    <w:rsid w:val="43761A48"/>
    <w:rsid w:val="43CD340D"/>
    <w:rsid w:val="44136A7F"/>
    <w:rsid w:val="445050B5"/>
    <w:rsid w:val="445D419E"/>
    <w:rsid w:val="446446FB"/>
    <w:rsid w:val="44654E01"/>
    <w:rsid w:val="44AC2A30"/>
    <w:rsid w:val="44F42ECC"/>
    <w:rsid w:val="44F71EFD"/>
    <w:rsid w:val="452B1BA6"/>
    <w:rsid w:val="45562C70"/>
    <w:rsid w:val="45703A5D"/>
    <w:rsid w:val="459534C4"/>
    <w:rsid w:val="45C83899"/>
    <w:rsid w:val="462907DC"/>
    <w:rsid w:val="466435C2"/>
    <w:rsid w:val="466A25D8"/>
    <w:rsid w:val="46752AE1"/>
    <w:rsid w:val="46D11A60"/>
    <w:rsid w:val="46E841F3"/>
    <w:rsid w:val="46F74436"/>
    <w:rsid w:val="47064679"/>
    <w:rsid w:val="47095F17"/>
    <w:rsid w:val="473236C0"/>
    <w:rsid w:val="47482EE3"/>
    <w:rsid w:val="476A7D45"/>
    <w:rsid w:val="47737835"/>
    <w:rsid w:val="47CA7D9C"/>
    <w:rsid w:val="47E81FD1"/>
    <w:rsid w:val="47E97841"/>
    <w:rsid w:val="47F60B91"/>
    <w:rsid w:val="47F95F8C"/>
    <w:rsid w:val="480D1A37"/>
    <w:rsid w:val="48150EBA"/>
    <w:rsid w:val="48283C8C"/>
    <w:rsid w:val="48A203D1"/>
    <w:rsid w:val="48D1607D"/>
    <w:rsid w:val="48D27E03"/>
    <w:rsid w:val="48EC2023"/>
    <w:rsid w:val="48F52BF7"/>
    <w:rsid w:val="490021E1"/>
    <w:rsid w:val="490D6193"/>
    <w:rsid w:val="492928A1"/>
    <w:rsid w:val="496B4C67"/>
    <w:rsid w:val="498F4DFA"/>
    <w:rsid w:val="49975A5C"/>
    <w:rsid w:val="499B6DA9"/>
    <w:rsid w:val="49A10689"/>
    <w:rsid w:val="49AE271D"/>
    <w:rsid w:val="49AF724A"/>
    <w:rsid w:val="4A07563F"/>
    <w:rsid w:val="4A143551"/>
    <w:rsid w:val="4A4200BE"/>
    <w:rsid w:val="4A653DAC"/>
    <w:rsid w:val="4A8E6E5F"/>
    <w:rsid w:val="4AE7656F"/>
    <w:rsid w:val="4AF15640"/>
    <w:rsid w:val="4AFA62A3"/>
    <w:rsid w:val="4B3A0D95"/>
    <w:rsid w:val="4B7F735B"/>
    <w:rsid w:val="4B8B15F1"/>
    <w:rsid w:val="4BE64A79"/>
    <w:rsid w:val="4C2D08FA"/>
    <w:rsid w:val="4C395C26"/>
    <w:rsid w:val="4C4D2D4A"/>
    <w:rsid w:val="4CAC5CC3"/>
    <w:rsid w:val="4CB701C3"/>
    <w:rsid w:val="4CC51FB3"/>
    <w:rsid w:val="4CE0771A"/>
    <w:rsid w:val="4CF907DC"/>
    <w:rsid w:val="4D5E03A6"/>
    <w:rsid w:val="4D7A7AAC"/>
    <w:rsid w:val="4D842FBC"/>
    <w:rsid w:val="4D946907"/>
    <w:rsid w:val="4D9E013E"/>
    <w:rsid w:val="4DF25957"/>
    <w:rsid w:val="4E577EB0"/>
    <w:rsid w:val="4E5B5B47"/>
    <w:rsid w:val="4E7B3B9E"/>
    <w:rsid w:val="4F367AC5"/>
    <w:rsid w:val="4F4B17C3"/>
    <w:rsid w:val="4F5B51B4"/>
    <w:rsid w:val="4F7F4E05"/>
    <w:rsid w:val="4F936CC6"/>
    <w:rsid w:val="4F9842DC"/>
    <w:rsid w:val="4FB642AE"/>
    <w:rsid w:val="4FE92D8A"/>
    <w:rsid w:val="4FF260E2"/>
    <w:rsid w:val="4FF4152A"/>
    <w:rsid w:val="501247EA"/>
    <w:rsid w:val="50493828"/>
    <w:rsid w:val="506E627D"/>
    <w:rsid w:val="50B315A4"/>
    <w:rsid w:val="50C8299F"/>
    <w:rsid w:val="512F2A1E"/>
    <w:rsid w:val="515B1A65"/>
    <w:rsid w:val="51B318A1"/>
    <w:rsid w:val="51DA5080"/>
    <w:rsid w:val="522105B9"/>
    <w:rsid w:val="524E3378"/>
    <w:rsid w:val="525564B4"/>
    <w:rsid w:val="526C7374"/>
    <w:rsid w:val="52B458D1"/>
    <w:rsid w:val="52B4767F"/>
    <w:rsid w:val="52CB49C9"/>
    <w:rsid w:val="52ED493F"/>
    <w:rsid w:val="530F6FAB"/>
    <w:rsid w:val="532540D9"/>
    <w:rsid w:val="53456529"/>
    <w:rsid w:val="535E75EB"/>
    <w:rsid w:val="536F17F8"/>
    <w:rsid w:val="53794425"/>
    <w:rsid w:val="537B7FCE"/>
    <w:rsid w:val="53987309"/>
    <w:rsid w:val="539F4B8E"/>
    <w:rsid w:val="53C733E2"/>
    <w:rsid w:val="53FF2B7C"/>
    <w:rsid w:val="540168F4"/>
    <w:rsid w:val="540E1011"/>
    <w:rsid w:val="54280325"/>
    <w:rsid w:val="54482775"/>
    <w:rsid w:val="544B4013"/>
    <w:rsid w:val="5495528E"/>
    <w:rsid w:val="54C33BA9"/>
    <w:rsid w:val="54CD636F"/>
    <w:rsid w:val="54E402EF"/>
    <w:rsid w:val="54E67898"/>
    <w:rsid w:val="55651104"/>
    <w:rsid w:val="5597330F"/>
    <w:rsid w:val="55985036"/>
    <w:rsid w:val="55A2618D"/>
    <w:rsid w:val="55A92BF6"/>
    <w:rsid w:val="55C44E95"/>
    <w:rsid w:val="55DC3184"/>
    <w:rsid w:val="55E80012"/>
    <w:rsid w:val="55FA184D"/>
    <w:rsid w:val="562C4936"/>
    <w:rsid w:val="566118CC"/>
    <w:rsid w:val="56644F18"/>
    <w:rsid w:val="566F0083"/>
    <w:rsid w:val="56B75990"/>
    <w:rsid w:val="56C500AD"/>
    <w:rsid w:val="57127D48"/>
    <w:rsid w:val="57376AD1"/>
    <w:rsid w:val="57611C71"/>
    <w:rsid w:val="57815F3D"/>
    <w:rsid w:val="579932E7"/>
    <w:rsid w:val="57CC546B"/>
    <w:rsid w:val="57DD1426"/>
    <w:rsid w:val="5806097D"/>
    <w:rsid w:val="58561826"/>
    <w:rsid w:val="587D6765"/>
    <w:rsid w:val="589A10C5"/>
    <w:rsid w:val="589F492D"/>
    <w:rsid w:val="58C3686E"/>
    <w:rsid w:val="592D1F39"/>
    <w:rsid w:val="59560878"/>
    <w:rsid w:val="59564C12"/>
    <w:rsid w:val="595B6AA6"/>
    <w:rsid w:val="5962392E"/>
    <w:rsid w:val="59653481"/>
    <w:rsid w:val="5A2E5F69"/>
    <w:rsid w:val="5A576203"/>
    <w:rsid w:val="5A5F4374"/>
    <w:rsid w:val="5A753B98"/>
    <w:rsid w:val="5A820063"/>
    <w:rsid w:val="5A8840BF"/>
    <w:rsid w:val="5A8B53B3"/>
    <w:rsid w:val="5A987886"/>
    <w:rsid w:val="5AC32B55"/>
    <w:rsid w:val="5ACC7530"/>
    <w:rsid w:val="5AF26F96"/>
    <w:rsid w:val="5B346E1E"/>
    <w:rsid w:val="5B3A26EB"/>
    <w:rsid w:val="5B4041A6"/>
    <w:rsid w:val="5B527A35"/>
    <w:rsid w:val="5B7A6F8C"/>
    <w:rsid w:val="5BCA7F13"/>
    <w:rsid w:val="5BD146D8"/>
    <w:rsid w:val="5C0C3481"/>
    <w:rsid w:val="5C1F4FDC"/>
    <w:rsid w:val="5C4001D5"/>
    <w:rsid w:val="5C4F21C6"/>
    <w:rsid w:val="5C60613A"/>
    <w:rsid w:val="5C8A4919"/>
    <w:rsid w:val="5CAA564F"/>
    <w:rsid w:val="5CAF2C65"/>
    <w:rsid w:val="5D627D08"/>
    <w:rsid w:val="5D8F4370"/>
    <w:rsid w:val="5D916F3A"/>
    <w:rsid w:val="5DCC7F73"/>
    <w:rsid w:val="5DD9443E"/>
    <w:rsid w:val="5DEA21A7"/>
    <w:rsid w:val="5DF9063C"/>
    <w:rsid w:val="5E023994"/>
    <w:rsid w:val="5E371164"/>
    <w:rsid w:val="5E5E2B95"/>
    <w:rsid w:val="5E6D0BE9"/>
    <w:rsid w:val="5ED97AB4"/>
    <w:rsid w:val="5EFA466C"/>
    <w:rsid w:val="5F131BD1"/>
    <w:rsid w:val="5F2142EE"/>
    <w:rsid w:val="5F36141C"/>
    <w:rsid w:val="5F506981"/>
    <w:rsid w:val="5FFA069B"/>
    <w:rsid w:val="609B00D0"/>
    <w:rsid w:val="60CA4511"/>
    <w:rsid w:val="60D22A82"/>
    <w:rsid w:val="60F17CF0"/>
    <w:rsid w:val="611D6D37"/>
    <w:rsid w:val="61C23B1A"/>
    <w:rsid w:val="61E909C7"/>
    <w:rsid w:val="62260BC1"/>
    <w:rsid w:val="623205C0"/>
    <w:rsid w:val="623B7475"/>
    <w:rsid w:val="623F15C0"/>
    <w:rsid w:val="62481B92"/>
    <w:rsid w:val="62791D4B"/>
    <w:rsid w:val="62CA25A7"/>
    <w:rsid w:val="62FE04A2"/>
    <w:rsid w:val="63116428"/>
    <w:rsid w:val="632C5010"/>
    <w:rsid w:val="63381C06"/>
    <w:rsid w:val="635527B8"/>
    <w:rsid w:val="63730E90"/>
    <w:rsid w:val="638836C0"/>
    <w:rsid w:val="63922CBE"/>
    <w:rsid w:val="63A63014"/>
    <w:rsid w:val="63A948B2"/>
    <w:rsid w:val="63C67212"/>
    <w:rsid w:val="63C811DC"/>
    <w:rsid w:val="63E37DC4"/>
    <w:rsid w:val="63FF0976"/>
    <w:rsid w:val="640B731B"/>
    <w:rsid w:val="64175CC0"/>
    <w:rsid w:val="642669B9"/>
    <w:rsid w:val="645E744B"/>
    <w:rsid w:val="647749B0"/>
    <w:rsid w:val="648275DD"/>
    <w:rsid w:val="64970BAF"/>
    <w:rsid w:val="64AF2BB4"/>
    <w:rsid w:val="64B4350F"/>
    <w:rsid w:val="64B57E6E"/>
    <w:rsid w:val="64CE2822"/>
    <w:rsid w:val="64D328C8"/>
    <w:rsid w:val="64EF2799"/>
    <w:rsid w:val="654C1999"/>
    <w:rsid w:val="657D6AE4"/>
    <w:rsid w:val="65AC068A"/>
    <w:rsid w:val="65CB4FB4"/>
    <w:rsid w:val="65F77B57"/>
    <w:rsid w:val="660914EB"/>
    <w:rsid w:val="66105D43"/>
    <w:rsid w:val="667C005C"/>
    <w:rsid w:val="66823241"/>
    <w:rsid w:val="66A35A4A"/>
    <w:rsid w:val="66AD6467"/>
    <w:rsid w:val="66AF21DF"/>
    <w:rsid w:val="66BE0674"/>
    <w:rsid w:val="66C832A1"/>
    <w:rsid w:val="66F145A6"/>
    <w:rsid w:val="670F2C7E"/>
    <w:rsid w:val="673D2B3B"/>
    <w:rsid w:val="673F7A07"/>
    <w:rsid w:val="676C65F1"/>
    <w:rsid w:val="67D53EC8"/>
    <w:rsid w:val="682F7A5B"/>
    <w:rsid w:val="686B0388"/>
    <w:rsid w:val="68863414"/>
    <w:rsid w:val="68866F70"/>
    <w:rsid w:val="68DE4FFE"/>
    <w:rsid w:val="691E364C"/>
    <w:rsid w:val="69470DF5"/>
    <w:rsid w:val="696568EF"/>
    <w:rsid w:val="69F041C7"/>
    <w:rsid w:val="69FB573C"/>
    <w:rsid w:val="6A0C16F7"/>
    <w:rsid w:val="6A184540"/>
    <w:rsid w:val="6A49294B"/>
    <w:rsid w:val="6A8676FB"/>
    <w:rsid w:val="6B264A3A"/>
    <w:rsid w:val="6B451364"/>
    <w:rsid w:val="6B4D1FC7"/>
    <w:rsid w:val="6B5670CE"/>
    <w:rsid w:val="6B7439F8"/>
    <w:rsid w:val="6BA20565"/>
    <w:rsid w:val="6BCA3618"/>
    <w:rsid w:val="6C411B2C"/>
    <w:rsid w:val="6C6228EE"/>
    <w:rsid w:val="6CCA7D73"/>
    <w:rsid w:val="6CDE55CC"/>
    <w:rsid w:val="6D042B59"/>
    <w:rsid w:val="6D050DAB"/>
    <w:rsid w:val="6D283441"/>
    <w:rsid w:val="6D535020"/>
    <w:rsid w:val="6D5D64D0"/>
    <w:rsid w:val="6D82064E"/>
    <w:rsid w:val="6D820CE2"/>
    <w:rsid w:val="6D9E2FAE"/>
    <w:rsid w:val="6E0C6169"/>
    <w:rsid w:val="6E3E0F35"/>
    <w:rsid w:val="6E453429"/>
    <w:rsid w:val="6E5024FA"/>
    <w:rsid w:val="6E82467D"/>
    <w:rsid w:val="6E8E1627"/>
    <w:rsid w:val="6E9F6FDD"/>
    <w:rsid w:val="6EBC36EB"/>
    <w:rsid w:val="6EC72568"/>
    <w:rsid w:val="6F305E87"/>
    <w:rsid w:val="6F40431D"/>
    <w:rsid w:val="6F4831D1"/>
    <w:rsid w:val="6F6A1399"/>
    <w:rsid w:val="6FB2689C"/>
    <w:rsid w:val="6FC22F83"/>
    <w:rsid w:val="6FC82564"/>
    <w:rsid w:val="6FDF24CB"/>
    <w:rsid w:val="6FE729EA"/>
    <w:rsid w:val="70056735"/>
    <w:rsid w:val="7047792D"/>
    <w:rsid w:val="706C1141"/>
    <w:rsid w:val="70707569"/>
    <w:rsid w:val="707B3132"/>
    <w:rsid w:val="713A123F"/>
    <w:rsid w:val="71500A63"/>
    <w:rsid w:val="715E0A8A"/>
    <w:rsid w:val="718B55F7"/>
    <w:rsid w:val="71A92E53"/>
    <w:rsid w:val="71C8684B"/>
    <w:rsid w:val="721675B7"/>
    <w:rsid w:val="72282286"/>
    <w:rsid w:val="722F2426"/>
    <w:rsid w:val="72B017B9"/>
    <w:rsid w:val="72DA4A88"/>
    <w:rsid w:val="72E94CCB"/>
    <w:rsid w:val="731C6E4F"/>
    <w:rsid w:val="73397A01"/>
    <w:rsid w:val="733A72D5"/>
    <w:rsid w:val="734E2D80"/>
    <w:rsid w:val="739A5FC5"/>
    <w:rsid w:val="73A11102"/>
    <w:rsid w:val="73B47087"/>
    <w:rsid w:val="73B65CE2"/>
    <w:rsid w:val="73B70925"/>
    <w:rsid w:val="73CB5D44"/>
    <w:rsid w:val="74363F40"/>
    <w:rsid w:val="743C73B2"/>
    <w:rsid w:val="745F7979"/>
    <w:rsid w:val="74675EA7"/>
    <w:rsid w:val="74716D26"/>
    <w:rsid w:val="749A44CF"/>
    <w:rsid w:val="749D6EC6"/>
    <w:rsid w:val="74F636CF"/>
    <w:rsid w:val="7524023C"/>
    <w:rsid w:val="752B15CB"/>
    <w:rsid w:val="753164B5"/>
    <w:rsid w:val="753A35BC"/>
    <w:rsid w:val="75894543"/>
    <w:rsid w:val="75994786"/>
    <w:rsid w:val="759C7DD3"/>
    <w:rsid w:val="759D0D09"/>
    <w:rsid w:val="75A77A0B"/>
    <w:rsid w:val="761A519B"/>
    <w:rsid w:val="76285B0A"/>
    <w:rsid w:val="766C59F7"/>
    <w:rsid w:val="76A94D3C"/>
    <w:rsid w:val="76FB321F"/>
    <w:rsid w:val="772C4AD0"/>
    <w:rsid w:val="77381D7D"/>
    <w:rsid w:val="7742362F"/>
    <w:rsid w:val="77496B42"/>
    <w:rsid w:val="77674410"/>
    <w:rsid w:val="779A6594"/>
    <w:rsid w:val="77B05DB7"/>
    <w:rsid w:val="77B238DE"/>
    <w:rsid w:val="77F739E6"/>
    <w:rsid w:val="786170B2"/>
    <w:rsid w:val="78C41E55"/>
    <w:rsid w:val="79061CFB"/>
    <w:rsid w:val="795409C4"/>
    <w:rsid w:val="79870D9A"/>
    <w:rsid w:val="79880E60"/>
    <w:rsid w:val="79A8143C"/>
    <w:rsid w:val="79A92B2C"/>
    <w:rsid w:val="79CB512B"/>
    <w:rsid w:val="79FE68D2"/>
    <w:rsid w:val="7A1A5941"/>
    <w:rsid w:val="7A230AC3"/>
    <w:rsid w:val="7A232871"/>
    <w:rsid w:val="7A6115EB"/>
    <w:rsid w:val="7A7A05ED"/>
    <w:rsid w:val="7AB7745D"/>
    <w:rsid w:val="7AC73B44"/>
    <w:rsid w:val="7AEA5A84"/>
    <w:rsid w:val="7AEC2449"/>
    <w:rsid w:val="7AF6697C"/>
    <w:rsid w:val="7B046B46"/>
    <w:rsid w:val="7B1B5C3E"/>
    <w:rsid w:val="7BA650DE"/>
    <w:rsid w:val="7C013085"/>
    <w:rsid w:val="7C1032C9"/>
    <w:rsid w:val="7CA3413D"/>
    <w:rsid w:val="7CA67789"/>
    <w:rsid w:val="7CCE149A"/>
    <w:rsid w:val="7CD50824"/>
    <w:rsid w:val="7CE8558C"/>
    <w:rsid w:val="7D5F62B6"/>
    <w:rsid w:val="7D641B1E"/>
    <w:rsid w:val="7D9F4904"/>
    <w:rsid w:val="7D9F66B2"/>
    <w:rsid w:val="7DE9584E"/>
    <w:rsid w:val="7E325778"/>
    <w:rsid w:val="7E4413B7"/>
    <w:rsid w:val="7E5576B9"/>
    <w:rsid w:val="7E5A1913"/>
    <w:rsid w:val="7E663674"/>
    <w:rsid w:val="7E691EC9"/>
    <w:rsid w:val="7E857F9E"/>
    <w:rsid w:val="7E861B76"/>
    <w:rsid w:val="7EC9775F"/>
    <w:rsid w:val="7EE76AFA"/>
    <w:rsid w:val="7F062761"/>
    <w:rsid w:val="7F160BF6"/>
    <w:rsid w:val="7F1906E6"/>
    <w:rsid w:val="7F3904CF"/>
    <w:rsid w:val="7F685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qFormat/>
    <w:uiPriority w:val="22"/>
    <w:rPr>
      <w:b/>
      <w:bCs/>
    </w:rPr>
  </w:style>
  <w:style w:type="paragraph" w:styleId="9">
    <w:name w:val="List Paragraph"/>
    <w:basedOn w:val="1"/>
    <w:qFormat/>
    <w:uiPriority w:val="1"/>
    <w:pPr>
      <w:ind w:left="884" w:firstLine="640"/>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Pages>
  <Words>2650</Words>
  <Characters>2783</Characters>
  <Lines>163</Lines>
  <Paragraphs>98</Paragraphs>
  <TotalTime>0</TotalTime>
  <ScaleCrop>false</ScaleCrop>
  <LinksUpToDate>false</LinksUpToDate>
  <CharactersWithSpaces>2823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2018-04-24T07:36:00Z</dcterms:created>
  <dc:creator>dreamsyang</dc:creator>
  <cp:lastModifiedBy>lena</cp:lastModifiedBy>
  <cp:lastPrinted>2023-09-14T03:51:00Z</cp:lastPrinted>
  <dcterms:modified xsi:type="dcterms:W3CDTF">2025-09-17T09:22:53Z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2992016C7F804469A30D6A4F9F47E8F7_13</vt:lpwstr>
  </property>
  <property fmtid="{D5CDD505-2E9C-101B-9397-08002B2CF9AE}" pid="4" name="KSOTemplateDocerSaveRecord">
    <vt:lpwstr>eyJoZGlkIjoiNmQ0ZDRmNTk0M2EwYjVmMDY5NjFkYmY4YjhiYTg2MWMiLCJ1c2VySWQiOiI0MzU4MjcxNjUifQ==</vt:lpwstr>
  </property>
</Properties>
</file>